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D28" w:rsidRPr="00534D28" w:rsidRDefault="00534D28" w:rsidP="00534D28">
      <w:pPr>
        <w:spacing w:after="0" w:line="240" w:lineRule="auto"/>
        <w:ind w:firstLine="709"/>
        <w:jc w:val="center"/>
        <w:rPr>
          <w:rFonts w:ascii="Arial" w:eastAsia="Calibri" w:hAnsi="Arial" w:cs="Arial"/>
          <w:b/>
          <w:sz w:val="20"/>
          <w:szCs w:val="20"/>
          <w:lang w:eastAsia="ru-RU"/>
        </w:rPr>
      </w:pPr>
      <w:r w:rsidRPr="00534D28">
        <w:rPr>
          <w:rFonts w:ascii="Arial" w:eastAsia="Calibri" w:hAnsi="Arial" w:cs="Arial"/>
          <w:b/>
          <w:sz w:val="20"/>
          <w:szCs w:val="20"/>
          <w:lang w:eastAsia="ru-RU"/>
        </w:rPr>
        <w:t>Доклад</w:t>
      </w:r>
    </w:p>
    <w:p w:rsidR="00534D28" w:rsidRPr="00534D28" w:rsidRDefault="00534D28" w:rsidP="00534D28">
      <w:pPr>
        <w:spacing w:after="0" w:line="240" w:lineRule="auto"/>
        <w:ind w:firstLine="709"/>
        <w:jc w:val="center"/>
        <w:rPr>
          <w:rFonts w:ascii="Arial" w:eastAsia="Calibri" w:hAnsi="Arial" w:cs="Arial"/>
          <w:b/>
          <w:spacing w:val="15"/>
          <w:sz w:val="20"/>
          <w:szCs w:val="20"/>
          <w:lang w:eastAsia="ru-RU"/>
        </w:rPr>
      </w:pPr>
      <w:r w:rsidRPr="00534D28">
        <w:rPr>
          <w:rFonts w:ascii="Arial" w:eastAsia="Calibri" w:hAnsi="Arial" w:cs="Arial"/>
          <w:b/>
          <w:spacing w:val="15"/>
          <w:sz w:val="20"/>
          <w:szCs w:val="20"/>
          <w:lang w:eastAsia="ru-RU"/>
        </w:rPr>
        <w:t xml:space="preserve">Уважаемые Дмитрий Викторович, Владислав Юрьевич,  </w:t>
      </w:r>
    </w:p>
    <w:p w:rsidR="00534D28" w:rsidRPr="00534D28" w:rsidRDefault="00534D28" w:rsidP="00534D28">
      <w:pPr>
        <w:spacing w:after="0" w:line="240" w:lineRule="auto"/>
        <w:ind w:left="708" w:firstLine="709"/>
        <w:jc w:val="center"/>
        <w:rPr>
          <w:rFonts w:ascii="Arial" w:eastAsia="Calibri" w:hAnsi="Arial" w:cs="Arial"/>
          <w:b/>
          <w:spacing w:val="15"/>
          <w:sz w:val="20"/>
          <w:szCs w:val="20"/>
          <w:lang w:eastAsia="ru-RU"/>
        </w:rPr>
      </w:pPr>
      <w:r w:rsidRPr="00534D28">
        <w:rPr>
          <w:rFonts w:ascii="Arial" w:eastAsia="Calibri" w:hAnsi="Arial" w:cs="Arial"/>
          <w:b/>
          <w:spacing w:val="15"/>
          <w:sz w:val="20"/>
          <w:szCs w:val="20"/>
          <w:lang w:eastAsia="ru-RU"/>
        </w:rPr>
        <w:t xml:space="preserve">депутаты, присутствующие!  </w:t>
      </w:r>
    </w:p>
    <w:p w:rsidR="00534D28" w:rsidRPr="00534D28" w:rsidRDefault="00534D28" w:rsidP="00534D28">
      <w:pPr>
        <w:spacing w:after="0" w:line="240" w:lineRule="auto"/>
        <w:ind w:left="708" w:firstLine="709"/>
        <w:jc w:val="center"/>
        <w:rPr>
          <w:rFonts w:ascii="Arial" w:eastAsia="Calibri" w:hAnsi="Arial" w:cs="Arial"/>
          <w:b/>
          <w:spacing w:val="15"/>
          <w:sz w:val="20"/>
          <w:szCs w:val="20"/>
          <w:lang w:eastAsia="ru-RU"/>
        </w:rPr>
      </w:pPr>
    </w:p>
    <w:p w:rsidR="00534D28" w:rsidRPr="00534D28" w:rsidRDefault="00534D28" w:rsidP="00534D28">
      <w:pPr>
        <w:spacing w:after="0" w:line="360" w:lineRule="auto"/>
        <w:ind w:firstLine="709"/>
        <w:jc w:val="both"/>
        <w:rPr>
          <w:rFonts w:ascii="Arial" w:eastAsia="Calibri" w:hAnsi="Arial" w:cs="Arial"/>
          <w:sz w:val="20"/>
          <w:szCs w:val="20"/>
          <w:lang w:eastAsia="ru-RU"/>
        </w:rPr>
      </w:pPr>
      <w:r w:rsidRPr="00534D28">
        <w:rPr>
          <w:rFonts w:ascii="Arial" w:eastAsia="Calibri" w:hAnsi="Arial" w:cs="Arial"/>
          <w:sz w:val="20"/>
          <w:szCs w:val="20"/>
          <w:lang w:eastAsia="ru-RU"/>
        </w:rPr>
        <w:t>Вашему вниманию представляется отчет о деятельности Контрольно-ревизионной комиссии городского округа Долгопрудный за 2021 год.</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Контрольно-ревизионная комиссия городского округа Долгопрудный создана в 2012 году на основании решения Совета депутатов города Долгопрудного от 28 мая 2012 года № 75-нр «О создании контрольно-ревизионной комиссии города Долгопрудного» и в соответствии со ст. 39 Устава городского округа Долгопрудный Московской области является постоянно действующим органом внешнего муниципального финансового контроля, обладает организационной и функциональной независимостью.</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В настоящее время штатная численность КРК составляет 5 человек, все вакансии заняты.</w:t>
      </w:r>
    </w:p>
    <w:p w:rsidR="00534D28" w:rsidRPr="00534D28" w:rsidRDefault="00534D28" w:rsidP="00534D28">
      <w:pPr>
        <w:autoSpaceDE w:val="0"/>
        <w:autoSpaceDN w:val="0"/>
        <w:adjustRightInd w:val="0"/>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Правовое регулирование организации и деятельности Комиссии основывается на Конституции Российской Федерации и осуществляется в соответствии </w:t>
      </w:r>
      <w:bookmarkStart w:id="0" w:name="OLE_LINK2"/>
      <w:bookmarkStart w:id="1" w:name="OLE_LINK1"/>
      <w:r w:rsidRPr="00534D28">
        <w:rPr>
          <w:rFonts w:ascii="Arial" w:eastAsia="Calibri" w:hAnsi="Arial" w:cs="Arial"/>
          <w:sz w:val="20"/>
          <w:szCs w:val="20"/>
        </w:rPr>
        <w:t>с Бюджетным Кодексом Российской Федерации, Федеральными законами "Об общих принципах организации местного самоуправления в Российской Федерации", «Об общих принципах организации и деятельности контрольно-счетных органов субъектов Российской Федерации и муниципальных образований»</w:t>
      </w:r>
      <w:bookmarkEnd w:id="0"/>
      <w:bookmarkEnd w:id="1"/>
      <w:r w:rsidRPr="00534D28">
        <w:rPr>
          <w:rFonts w:ascii="Arial" w:eastAsia="Calibri" w:hAnsi="Arial" w:cs="Arial"/>
          <w:sz w:val="20"/>
          <w:szCs w:val="20"/>
        </w:rPr>
        <w:t xml:space="preserve">, Уставом муниципального образования «городской округ Долгопрудный Московской области», Положением о Контрольно-ревизионной комиссии, Регламентом Контрольно-ревизионной комиссии, Стандартами внешнего финансового контроля. </w:t>
      </w:r>
    </w:p>
    <w:p w:rsidR="00534D28" w:rsidRPr="00534D28" w:rsidRDefault="00534D28" w:rsidP="00534D28">
      <w:pPr>
        <w:autoSpaceDE w:val="0"/>
        <w:autoSpaceDN w:val="0"/>
        <w:adjustRightInd w:val="0"/>
        <w:spacing w:after="12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В своей деятельности Комиссия подотчетна Совету депутатов городского округа Долгопрудный Московской области, настоящий отчет подготовлен на основании пункта 2 статьи 17 Положения о Контрольно-ревизионной комиссии городского округа Долгопрудный.</w:t>
      </w:r>
    </w:p>
    <w:p w:rsidR="00534D28" w:rsidRPr="00534D28" w:rsidRDefault="00534D28" w:rsidP="00534D28">
      <w:pPr>
        <w:spacing w:before="150" w:after="150" w:line="360" w:lineRule="auto"/>
        <w:ind w:firstLine="709"/>
        <w:contextualSpacing/>
        <w:jc w:val="both"/>
        <w:rPr>
          <w:rFonts w:ascii="Arial" w:eastAsia="Times New Roman" w:hAnsi="Arial" w:cs="Arial"/>
          <w:sz w:val="20"/>
          <w:szCs w:val="20"/>
          <w:lang w:eastAsia="ru-RU"/>
        </w:rPr>
      </w:pPr>
      <w:r w:rsidRPr="00534D28">
        <w:rPr>
          <w:rFonts w:ascii="Arial" w:eastAsia="Times New Roman" w:hAnsi="Arial" w:cs="Arial"/>
          <w:sz w:val="20"/>
          <w:szCs w:val="20"/>
          <w:lang w:eastAsia="ru-RU"/>
        </w:rPr>
        <w:t xml:space="preserve">В данном отчете отражена информация о деятельности </w:t>
      </w:r>
      <w:r w:rsidRPr="00534D28">
        <w:rPr>
          <w:rFonts w:ascii="Arial" w:eastAsia="Calibri" w:hAnsi="Arial" w:cs="Arial"/>
          <w:sz w:val="20"/>
          <w:szCs w:val="20"/>
        </w:rPr>
        <w:t xml:space="preserve">контрольно-ревизионной комиссии в </w:t>
      </w:r>
      <w:r w:rsidRPr="00534D28">
        <w:rPr>
          <w:rFonts w:ascii="Arial" w:eastAsia="Times New Roman" w:hAnsi="Arial" w:cs="Arial"/>
          <w:sz w:val="20"/>
          <w:szCs w:val="20"/>
          <w:lang w:eastAsia="ru-RU"/>
        </w:rPr>
        <w:t>2021 году по реализации задач, установленных Планом работы и законодательством, регулирующим деятельность контрольно-счетных органов, о результатах проведенных экспертно-аналитических и контрольных мероприятий, о принятых мерах по устранению выявленных нарушений.</w:t>
      </w:r>
    </w:p>
    <w:p w:rsidR="00534D28" w:rsidRPr="00534D28" w:rsidRDefault="00534D28" w:rsidP="00534D28">
      <w:pPr>
        <w:spacing w:before="150" w:after="15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Внешний муниципальный финансовый контроль в 2021 году осуществлялся в форме экспертно-аналитических и контрольных мероприятий и финансово-экономических экспертиз проектов муниципальных правовых актов. В ходе проведения мероприятий уделялось особое внимание:</w:t>
      </w:r>
    </w:p>
    <w:p w:rsidR="00534D28" w:rsidRPr="00534D28" w:rsidRDefault="00534D28" w:rsidP="00534D28">
      <w:pPr>
        <w:spacing w:before="150" w:after="15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оценке результативности бюджетных расходов;</w:t>
      </w:r>
    </w:p>
    <w:p w:rsidR="00534D28" w:rsidRPr="00534D28" w:rsidRDefault="00534D28" w:rsidP="00534D28">
      <w:pPr>
        <w:spacing w:before="150" w:after="15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оценке достижения запланированных целевых показателей муниципальных программ;</w:t>
      </w:r>
    </w:p>
    <w:p w:rsidR="00534D28" w:rsidRPr="00534D28" w:rsidRDefault="00534D28" w:rsidP="00534D28">
      <w:pPr>
        <w:spacing w:before="150" w:after="15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эффективности расходования бюджетных средств;</w:t>
      </w:r>
    </w:p>
    <w:p w:rsidR="00534D28" w:rsidRPr="00534D28" w:rsidRDefault="00534D28" w:rsidP="00534D28">
      <w:pPr>
        <w:spacing w:before="150" w:after="15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подготовке рекомендаций и предложений по устранению выявленных нарушений и совершенствованию муниципальных правовых актов.</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Times New Roman" w:hAnsi="Arial" w:cs="Arial"/>
          <w:sz w:val="20"/>
          <w:szCs w:val="20"/>
          <w:lang w:eastAsia="ru-RU"/>
        </w:rPr>
        <w:t xml:space="preserve">На основании </w:t>
      </w:r>
      <w:r w:rsidRPr="00534D28">
        <w:rPr>
          <w:rFonts w:ascii="Arial" w:eastAsia="Calibri" w:hAnsi="Arial" w:cs="Arial"/>
          <w:sz w:val="20"/>
          <w:szCs w:val="20"/>
        </w:rPr>
        <w:t xml:space="preserve">Плана работы в 2021 году Комиссия провела 19 мероприятий, из них 5 экспертно-аналитических мероприятий и 14 контрольных мероприятий. </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Всего в 2021 году проверено 39 объектов – это муниципальные учреждения, органы местного самоуправления и их структурные подразделения. В 2020 году было проверено также 39 объектов.</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xml:space="preserve">Общий объем финансовых средств, проверенных в отчетном году </w:t>
      </w:r>
      <w:r w:rsidRPr="00534D28">
        <w:rPr>
          <w:rFonts w:ascii="Arial" w:eastAsia="Calibri" w:hAnsi="Arial" w:cs="Arial"/>
          <w:b/>
          <w:sz w:val="20"/>
          <w:szCs w:val="20"/>
        </w:rPr>
        <w:t>в ходе контрольной деятельности</w:t>
      </w:r>
      <w:r w:rsidRPr="00534D28">
        <w:rPr>
          <w:rFonts w:ascii="Arial" w:eastAsia="Calibri" w:hAnsi="Arial" w:cs="Arial"/>
          <w:sz w:val="20"/>
          <w:szCs w:val="20"/>
        </w:rPr>
        <w:t xml:space="preserve">, составил 707 696 360 рублей (семьсот семь миллионов шестьсот девяносто шесть тысяч триста шестьдесят рублей). </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lastRenderedPageBreak/>
        <w:t>За отчетный период 2021 г. только контрольными мероприятиями было охвачено 34 объекта, из них на 25 объектах выявлены 81 нарушение на общую сумму 92 008 350 (девяносто два миллиона восемь тысяч триста пятьдесят рублей).</w:t>
      </w:r>
    </w:p>
    <w:p w:rsidR="00534D28" w:rsidRPr="00534D28" w:rsidRDefault="00534D28" w:rsidP="00534D28">
      <w:pPr>
        <w:spacing w:after="0" w:line="360" w:lineRule="auto"/>
        <w:ind w:firstLine="709"/>
        <w:contextualSpacing/>
        <w:jc w:val="both"/>
        <w:rPr>
          <w:rFonts w:ascii="Arial" w:eastAsia="Times New Roman" w:hAnsi="Arial" w:cs="Arial"/>
          <w:sz w:val="20"/>
          <w:szCs w:val="20"/>
          <w:lang w:eastAsia="ru-RU"/>
        </w:rPr>
      </w:pPr>
      <w:r w:rsidRPr="00534D28">
        <w:rPr>
          <w:rFonts w:ascii="Arial" w:eastAsia="Calibri" w:hAnsi="Arial" w:cs="Arial"/>
          <w:sz w:val="20"/>
          <w:szCs w:val="20"/>
        </w:rPr>
        <w:t>Для сравнения, в отчетном 2020 году в ходе контрольной деятельности было охвачено также 34 объекта, из них на 32 объектах были выявлены 106 нарушений на общую сумму</w:t>
      </w:r>
      <w:r w:rsidRPr="00534D28">
        <w:rPr>
          <w:rFonts w:ascii="Trebuchet MS" w:eastAsia="+mn-ea" w:hAnsi="Trebuchet MS" w:cs="+mn-cs"/>
          <w:bCs/>
          <w:sz w:val="20"/>
          <w:szCs w:val="20"/>
          <w:lang w:eastAsia="ru-RU"/>
        </w:rPr>
        <w:t xml:space="preserve"> </w:t>
      </w:r>
      <w:r w:rsidRPr="00534D28">
        <w:rPr>
          <w:rFonts w:ascii="Arial" w:eastAsia="+mn-ea" w:hAnsi="Arial" w:cs="Arial"/>
          <w:bCs/>
          <w:sz w:val="20"/>
          <w:szCs w:val="20"/>
          <w:lang w:eastAsia="ru-RU"/>
        </w:rPr>
        <w:t>630 419 570 (шестьсот тридцать миллионов четыреста девятнадцать тысяч пятьсот семьдесят рублей).</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Характеристика нарушений по контрольным мероприятиям свидетельствует о том, что в 2021 году выявлены нарушения в основном по двум категориям: при формировании и исполнении бюджета и при ведении бухгалтерского учета, составлении и представлении бухгалтерской (финансовой) отчетности (92,6 процента от общего количества выявленных нарушений).</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Наибольший объем (51,85 процента от общего количества нарушений) выявлен </w:t>
      </w:r>
      <w:r w:rsidRPr="00534D28">
        <w:rPr>
          <w:rFonts w:ascii="Arial" w:eastAsia="Calibri" w:hAnsi="Arial" w:cs="Arial"/>
          <w:i/>
          <w:sz w:val="20"/>
          <w:szCs w:val="20"/>
          <w:u w:val="single"/>
        </w:rPr>
        <w:t>при формировании и исполнении бюджета</w:t>
      </w:r>
      <w:r w:rsidRPr="00534D28">
        <w:rPr>
          <w:rFonts w:ascii="Arial" w:eastAsia="Calibri" w:hAnsi="Arial" w:cs="Arial"/>
          <w:sz w:val="20"/>
          <w:szCs w:val="20"/>
        </w:rPr>
        <w:t xml:space="preserve"> – 42 нарушения на общую сумму 27 040 710 рублей (двадцать семь миллионов сорок тысяч семьсот десять рублей).</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Следует отметить, что среди выявленных нарушений </w:t>
      </w:r>
      <w:r w:rsidRPr="00534D28">
        <w:rPr>
          <w:rFonts w:ascii="Arial" w:eastAsia="Calibri" w:hAnsi="Arial" w:cs="Arial"/>
          <w:i/>
          <w:sz w:val="20"/>
          <w:szCs w:val="20"/>
          <w:u w:val="single"/>
        </w:rPr>
        <w:t>при формировании и исполнении бюджета городского округа</w:t>
      </w:r>
      <w:r w:rsidRPr="00534D28">
        <w:rPr>
          <w:rFonts w:ascii="Arial" w:eastAsia="Calibri" w:hAnsi="Arial" w:cs="Arial"/>
          <w:sz w:val="20"/>
          <w:szCs w:val="20"/>
        </w:rPr>
        <w:t xml:space="preserve">, установлены 3 нарушения нецелевого использования бюджетных средств на общую сумму 1 261 360 (один миллион двести шестьдесят одна тысяча триста шестьдесят рублей) и 6 нарушений </w:t>
      </w:r>
      <w:r w:rsidRPr="00534D28">
        <w:rPr>
          <w:rFonts w:ascii="Arial" w:eastAsia="Calibri" w:hAnsi="Arial" w:cs="Arial"/>
          <w:i/>
          <w:sz w:val="20"/>
          <w:szCs w:val="20"/>
          <w:u w:val="single"/>
        </w:rPr>
        <w:t>неэффективного использования бюджетных средств</w:t>
      </w:r>
      <w:r w:rsidRPr="00534D28">
        <w:rPr>
          <w:rFonts w:ascii="Arial" w:eastAsia="Calibri" w:hAnsi="Arial" w:cs="Arial"/>
          <w:sz w:val="20"/>
          <w:szCs w:val="20"/>
        </w:rPr>
        <w:t xml:space="preserve"> на общую сумму 14 196 430 рублей (четырнадцать миллионов сто девяносто шесть тысяч четыреста тридцать рублей).</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Значительную часть (40,75 процентов от общего количества нарушений) составляют нарушения, выявленные </w:t>
      </w:r>
      <w:r w:rsidRPr="00534D28">
        <w:rPr>
          <w:rFonts w:ascii="Arial" w:eastAsia="Calibri" w:hAnsi="Arial" w:cs="Arial"/>
          <w:i/>
          <w:sz w:val="20"/>
          <w:szCs w:val="20"/>
          <w:u w:val="single"/>
        </w:rPr>
        <w:t>при ведении бухгалтерского учета, составлении и представлении бухгалтерской (финансовой) отчетности</w:t>
      </w:r>
      <w:r w:rsidRPr="00534D28">
        <w:rPr>
          <w:rFonts w:ascii="Arial" w:eastAsia="Calibri" w:hAnsi="Arial" w:cs="Arial"/>
          <w:sz w:val="20"/>
          <w:szCs w:val="20"/>
        </w:rPr>
        <w:t xml:space="preserve"> - 33 единицы на общую сумму 64 967 640 рублей (шестьдесят четыре миллиона девятьсот шестьдесят семь тысяч шестьсот сорок рублей).</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 Следует отметить, что среди выявленных нарушений </w:t>
      </w:r>
      <w:r w:rsidRPr="00534D28">
        <w:rPr>
          <w:rFonts w:ascii="Arial" w:eastAsia="Calibri" w:hAnsi="Arial" w:cs="Arial"/>
          <w:sz w:val="20"/>
          <w:szCs w:val="20"/>
          <w:u w:val="single"/>
        </w:rPr>
        <w:t>при ведении бухгалтерского учета, составлении и представлении бухгалтерской (финансовой) отчетности</w:t>
      </w:r>
      <w:r w:rsidRPr="00534D28">
        <w:rPr>
          <w:rFonts w:ascii="Arial" w:eastAsia="Calibri" w:hAnsi="Arial" w:cs="Arial"/>
          <w:sz w:val="20"/>
          <w:szCs w:val="20"/>
        </w:rPr>
        <w:t xml:space="preserve"> установлены 5 нарушений неэффективного использования бюджетных средств на общую сумму 235 190 рублей (двести тридцать пять тысяч сто девяносто рублей).</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При осуществлении муниципальных закупок выявлены 3 (три) нарушения (3,70 процента от общего количества нарушений), не имеющие суммового выражения.</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Также, выявлены иные нарушения в количестве 3 (трех) единиц или 3,70 % от общего количества выявленных нарушений, не имеющие суммового выражения.</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При проверках нарушения отражаются в соответствии с Классификатором нарушений, выявляемых в ходе внешнего государственного (муниципального) аудита (контроля), одобренным Советом контрольно-счетных органов при Счетной палате РФ 17.12.2014, протокол № 2 СК СР (в редакции распоряжения КСП МО № 41Р-56 от 13.07.2020) с учетом региональных особенностей. Таким образом, нами учитываются все выявленные нарушения, в том числе имеющие и количественную, и стоимостную оценку. </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Таким образом, Классификация нарушений по контрольным мероприятиям за 2021 год такова: </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i/>
          <w:sz w:val="20"/>
          <w:szCs w:val="20"/>
          <w:u w:val="single"/>
        </w:rPr>
        <w:t>При формировании и исполнении бюджета – (42 нарушения),</w:t>
      </w:r>
      <w:r w:rsidRPr="00534D28">
        <w:rPr>
          <w:rFonts w:ascii="Arial" w:eastAsia="Calibri" w:hAnsi="Arial" w:cs="Arial"/>
          <w:i/>
          <w:sz w:val="20"/>
          <w:szCs w:val="20"/>
        </w:rPr>
        <w:t xml:space="preserve"> </w:t>
      </w:r>
      <w:r w:rsidRPr="00534D28">
        <w:rPr>
          <w:rFonts w:ascii="Arial" w:eastAsia="Calibri" w:hAnsi="Arial" w:cs="Arial"/>
          <w:sz w:val="20"/>
          <w:szCs w:val="20"/>
        </w:rPr>
        <w:t>к которым относятся нарушения:</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условий предоставления из бюджетов бюджетной системы субсидий юридическим лицам (за исключением субсидии государственным (муниципальным) учреждениям), индивидуальным предпринимателям, физическим лицам – производителям товаров, работ, услуг;</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 предоставление бюджетным и автономным учреждениям субсидии на иные цели в объеме, определенном с нарушением порядка определения объема и условий предоставления из бюджетов </w:t>
      </w:r>
      <w:r w:rsidRPr="00534D28">
        <w:rPr>
          <w:rFonts w:ascii="Arial" w:eastAsia="Calibri" w:hAnsi="Arial" w:cs="Arial"/>
          <w:sz w:val="20"/>
          <w:szCs w:val="20"/>
        </w:rPr>
        <w:lastRenderedPageBreak/>
        <w:t>бюджетной системы Российской Федерации субсидий бюджетным и автономным учреждениям на иные цели и (или) в объеме, не соответствующем условиям соглашения о предоставлении субсидий на иные цели;</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порядка формирования и ведения плана финансово-хозяйственной деятельности бюджетным (автономным) учреждением, унитарным предприятием;</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порядка реализации муниципальных программ;</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порядка применения бюджетной классификации Российской Федерации;</w:t>
      </w:r>
      <w:r w:rsidRPr="00534D28">
        <w:rPr>
          <w:rFonts w:ascii="Arial" w:eastAsia="Calibri" w:hAnsi="Arial" w:cs="Arial"/>
          <w:sz w:val="20"/>
          <w:szCs w:val="20"/>
        </w:rPr>
        <w:tab/>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условий оплаты труда сотрудников государственных (муниципальных) органов, государственных (муниципальных) служащих, работников государственных (муниципальных) бюджетных, автономных и казенных учреждений;</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оплаты труда сотрудников государственных (муниципальных) органов, государственных (муниципальных) служащих, работников государственных (муниципальных) бюджетных, автономных и казенных учреждений в размерах, не соответствующих установленным законодательством Российской Федерации, локальными правыми актами;</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порядка оплаты труда сотрудников государственных (муниципальных) органов, государственных (муниципальных) служащих, работников государственных (муниципальных) бюджетных, автономных и казенных учреждений (за исключением нарушений, указанных в иных пунктах Классификатора);</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неэффективное использование бюджетных средств в ходе исполнения бюджета;</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несоблюдение учредителем сроков предоставления субсидии на финансовое обеспечение выполнения государственного (муниципального) задания, установленных соглашением о предоставлении средств из местного бюджета;</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при выполнении (не выполнении) государственных (муниципальных) задач и функций органами государственной власти и органами местного самоуправления, органами государственных внебюджетных фондов;</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  порядка обеспечения открытости и доступности сведений, содержащихся в документах, а, равно как и самих документов государственных (муниципальных) учреждений путем размещения на официальном сайте в информационно- телекоммуникационной сети «Интернет». </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Установлены 3 нарушения </w:t>
      </w:r>
      <w:r w:rsidRPr="00534D28">
        <w:rPr>
          <w:rFonts w:ascii="Arial" w:eastAsia="Calibri" w:hAnsi="Arial" w:cs="Arial"/>
          <w:i/>
          <w:sz w:val="20"/>
          <w:szCs w:val="20"/>
          <w:u w:val="single"/>
        </w:rPr>
        <w:t>нецелевого использования бюджетных средств</w:t>
      </w:r>
      <w:r w:rsidRPr="00534D28">
        <w:rPr>
          <w:rFonts w:ascii="Arial" w:eastAsia="Calibri" w:hAnsi="Arial" w:cs="Arial"/>
          <w:sz w:val="20"/>
          <w:szCs w:val="20"/>
        </w:rPr>
        <w:t xml:space="preserve"> – это</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расходование бюджетными и автономными учреждениями средств субсидии на иные цели не в соответствии с целями ее предоставления, а также неправомерно исчисленная и выплаченная заработная плата из средств субсидии на выполнение муниципального задания.</w:t>
      </w:r>
    </w:p>
    <w:p w:rsidR="00534D28" w:rsidRPr="00534D28" w:rsidRDefault="00534D28" w:rsidP="00534D28">
      <w:pPr>
        <w:spacing w:after="0" w:line="360" w:lineRule="auto"/>
        <w:ind w:firstLine="709"/>
        <w:jc w:val="both"/>
        <w:rPr>
          <w:rFonts w:ascii="Arial" w:eastAsia="+mn-ea" w:hAnsi="Arial" w:cs="Arial"/>
          <w:bCs/>
          <w:sz w:val="20"/>
          <w:szCs w:val="20"/>
          <w:lang w:eastAsia="ru-RU"/>
        </w:rPr>
      </w:pPr>
      <w:r w:rsidRPr="00534D28">
        <w:rPr>
          <w:rFonts w:ascii="Arial" w:eastAsia="Calibri" w:hAnsi="Arial" w:cs="Arial"/>
          <w:sz w:val="20"/>
          <w:szCs w:val="20"/>
        </w:rPr>
        <w:t xml:space="preserve">А также 6 нарушений </w:t>
      </w:r>
      <w:r w:rsidRPr="00534D28">
        <w:rPr>
          <w:rFonts w:ascii="Arial" w:eastAsia="Calibri" w:hAnsi="Arial" w:cs="Arial"/>
          <w:i/>
          <w:sz w:val="20"/>
          <w:szCs w:val="20"/>
          <w:u w:val="single"/>
        </w:rPr>
        <w:t>неэффективного использования бюджетных средств</w:t>
      </w:r>
      <w:r w:rsidRPr="00534D28">
        <w:rPr>
          <w:rFonts w:ascii="Arial" w:eastAsia="Calibri" w:hAnsi="Arial" w:cs="Arial"/>
          <w:sz w:val="20"/>
          <w:szCs w:val="20"/>
        </w:rPr>
        <w:t xml:space="preserve"> </w:t>
      </w:r>
      <w:r w:rsidRPr="00534D28">
        <w:rPr>
          <w:rFonts w:ascii="Arial" w:eastAsia="+mn-ea" w:hAnsi="Arial" w:cs="Arial"/>
          <w:bCs/>
          <w:sz w:val="20"/>
          <w:szCs w:val="20"/>
          <w:lang w:eastAsia="ru-RU"/>
        </w:rPr>
        <w:t>в ходе исполнения бюджета.</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К нарушениям </w:t>
      </w:r>
      <w:r w:rsidRPr="00534D28">
        <w:rPr>
          <w:rFonts w:ascii="Arial" w:eastAsia="Calibri" w:hAnsi="Arial" w:cs="Arial"/>
          <w:i/>
          <w:sz w:val="20"/>
          <w:szCs w:val="20"/>
          <w:u w:val="single"/>
        </w:rPr>
        <w:t>при ведении бухгалтерского учета, составлении и представлении бухгалтерской (финансовой) отчетности</w:t>
      </w:r>
      <w:r w:rsidRPr="00534D28">
        <w:rPr>
          <w:rFonts w:ascii="Arial" w:eastAsia="Calibri" w:hAnsi="Arial" w:cs="Arial"/>
          <w:sz w:val="20"/>
          <w:szCs w:val="20"/>
        </w:rPr>
        <w:t xml:space="preserve"> (33 нарушения) относятся нарушения:</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принятые к бухгалтерскому учету документы содержат недостоверные данные о свершившихся фактах хозяйственной жизни;</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общих требований к бухгалтерской (финансовой) отчетности экономического субъекта, в том числе к ее составу;</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lastRenderedPageBreak/>
        <w:t>- требований, предъявляемых к проведению инвентаризации активов и обязательств в случаях, сроках и порядке, а также к перечню объектов, подлежащих инвентаризации определенных экономическим субъектом (количество);</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требований, предъявляемых к регистру бухгалтерского учета;</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требований к бюджетному (бухгалтерскому) учету, повлекшее представление бухгалтерской (финансовой) отчетности, содержащей значительное искажение показателей;</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грубое нарушение требований к бюджетному (бухгалтерскому) учету, в том числе бухгалтерской (финансовой) отчетности, содержащей искажение любого показателя, выраженного в денежном измерении не менее чем на 10%;</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требований, предъявляемых к форме и (или) обязательным реквизитам первичных учетных документов;</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требований, предъявляемых к применению правил ведения бухгалтерского учета и составления бухгалтерской отчетности;</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неэффективное использование бюджетных средств в результате недостатков, допущенных при ведении бухгалтерского учета, составления и представления бухгалтерской (финансовой) отчетности.</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Установлены 5 нарушений неэффективного использования бюджетных средств на общую сумму 235,19 тыс. руб.</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К нарушениям при осуществлении муниципальных закупок (3 нарушения) относятся нарушения:</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условий реализации контрактов (договоров), в том числе сроков реализации, включая своевременность расчетов по контракту (договору);</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иных условий реализации контрактов (договоров), в том числе сроков реализации, включая своевременность расчетов по контракту (договору).</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К иным нарушениям (3 нарушения) относятся:</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нарушение правил осуществления внутреннего финансового контроля и внутреннего финансового аудита.</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xml:space="preserve">В соответствии со статьей 16 ФЗ-6 «Об общих принципах организации и деятельности контрольно-счетных органов субъектов Российской Федерации и муниципальных образований» контрольно-счетные органы по результатам проведения контрольных мероприятий вправе вносить в органы местного самоуправления и муниципальные органы, проверенные организации представления, предписания, информационные письма для их рассмотрения и принятия мер по устранению выявленных нарушений и недостатков. </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xml:space="preserve">В 2021 году по результатам всех контрольных мероприятий руководителям учреждений, являвшихся объектами проверки, направлены </w:t>
      </w:r>
      <w:r w:rsidRPr="00534D28">
        <w:rPr>
          <w:rFonts w:ascii="Arial" w:eastAsia="Calibri" w:hAnsi="Arial" w:cs="Arial"/>
          <w:b/>
          <w:sz w:val="20"/>
          <w:szCs w:val="20"/>
        </w:rPr>
        <w:t>24 представления</w:t>
      </w:r>
      <w:r w:rsidRPr="00534D28">
        <w:rPr>
          <w:rFonts w:ascii="Arial" w:eastAsia="Calibri" w:hAnsi="Arial" w:cs="Arial"/>
          <w:sz w:val="20"/>
          <w:szCs w:val="20"/>
        </w:rPr>
        <w:t xml:space="preserve"> об устранении выявленных нарушений, из которых 18 представлений полностью исполнено и 6 выполнение в</w:t>
      </w:r>
      <w:bookmarkStart w:id="2" w:name="_GoBack"/>
      <w:bookmarkEnd w:id="2"/>
      <w:r w:rsidRPr="00534D28">
        <w:rPr>
          <w:rFonts w:ascii="Arial" w:eastAsia="Calibri" w:hAnsi="Arial" w:cs="Arial"/>
          <w:sz w:val="20"/>
          <w:szCs w:val="20"/>
        </w:rPr>
        <w:t xml:space="preserve"> процессе (срок исполнения которых в 2022 году), с количеством предложений 370 единиц, из которых 298 требований полностью выполнено и 72 требования остаются на контроле. </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lastRenderedPageBreak/>
        <w:t>Для сравнения в 2020 году по результатам всех контрольных мероприятий руководителям учреждений, являвшихся объектами проверки, направлены 30 представлений об устранении выявленных нарушений, из которых 21 представление полностью исполнено и 9 выполнены частично (выполнение в процессе), с количеством предложений 315 единиц, из которых 291 требование полностью выполнено и 24 требования оставались на контроле.</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xml:space="preserve">В 2021 году было направлено 3 информационных письма, из них два – Управлению культуры, физической культуры, спорта, туризма и молодежной политики администрации городского округа и одно в Управление образования администрации городского округа Долгопрудный. Все предложения в информационных письмах исполнены. </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xml:space="preserve">Заключений по результатам финансово-экономических экспертиз проектов решений Совета депутатов городского округа Долгопрудный Московской области было подготовлено в 2021 году 20 (двадцать), в 2020 году – 30 (тридцать). </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xml:space="preserve">По результатам всех контрольных и экспертно - аналитических мероприятий в 2021 году подготовлен 41 материал, в 2020 году - 51 материал. </w:t>
      </w:r>
    </w:p>
    <w:p w:rsidR="00534D28" w:rsidRPr="00534D28" w:rsidRDefault="00534D28" w:rsidP="00534D28">
      <w:pPr>
        <w:spacing w:before="150" w:after="150" w:line="360" w:lineRule="auto"/>
        <w:ind w:firstLine="709"/>
        <w:contextualSpacing/>
        <w:jc w:val="both"/>
        <w:rPr>
          <w:rFonts w:ascii="Arial" w:eastAsia="Times New Roman" w:hAnsi="Arial" w:cs="Arial"/>
          <w:sz w:val="20"/>
          <w:szCs w:val="20"/>
          <w:lang w:eastAsia="ru-RU"/>
        </w:rPr>
      </w:pPr>
      <w:r w:rsidRPr="00534D28">
        <w:rPr>
          <w:rFonts w:ascii="Arial" w:eastAsia="Times New Roman" w:hAnsi="Arial" w:cs="Arial"/>
          <w:sz w:val="20"/>
          <w:szCs w:val="20"/>
          <w:lang w:eastAsia="ru-RU"/>
        </w:rPr>
        <w:t>По результатам всех контрольных мероприятий составлены акты проверок, оформлены отчеты, по результатам экспертно-аналитических мероприятий составлены заключения, которые размещены на официальном сайте администрации городского округа Долгопрудный на странице Контрольно-ревизионной комиссии.</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xml:space="preserve">За отчетный период 2021 года проведено 5 </w:t>
      </w:r>
      <w:r w:rsidRPr="00534D28">
        <w:rPr>
          <w:rFonts w:ascii="Arial" w:eastAsia="Calibri" w:hAnsi="Arial" w:cs="Arial"/>
          <w:b/>
          <w:sz w:val="20"/>
          <w:szCs w:val="20"/>
        </w:rPr>
        <w:t>экспертно-аналитических мероприятий</w:t>
      </w:r>
      <w:r w:rsidRPr="00534D28">
        <w:rPr>
          <w:rFonts w:ascii="Arial" w:eastAsia="Calibri" w:hAnsi="Arial" w:cs="Arial"/>
          <w:sz w:val="20"/>
          <w:szCs w:val="20"/>
        </w:rPr>
        <w:t>, в том числе: в части оперативного контроля исполнения бюджета городского округа: проведены 3 мониторинга исполнения бюджета городского округа за 3, 6 и 9 месяцев 2021 года, в части последующего контроля: проведена внешняя проверка годового отчета об исполнении бюджета городского округа Долгопрудный за 2020 год, в части мониторинга закупок, аудита в сфере закупок: проведено обобщение результатов аудита в сфере закупок товаров, работ, услуг для обеспечения муниципальных нужд городского округа Долгопрудный по результатам контрольных мероприятий.</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В 2021 году проверено 5 объектов, и у всех выявлены нарушения по результатам экспертно-аналитических мероприятий. Всего выявлены 14 нарушений на общую сумму 376 393 460 (триста семьдесят шесть миллионов триста девяносто три тысячи четыреста шестьдесят) рублей, а в 2020 году количество выявленных нарушений составило 11 и сумма выявленных нарушений 2 945 000 (два миллиона девятьсот сорок пять тысяч) рублей.</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Характеристика нарушений по экспертно-аналитическим мероприятиям такова:</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В 2021 году по экспертно-аналитическим мероприятиям </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78,57 процентов нарушений относятся к нарушениям </w:t>
      </w:r>
      <w:r w:rsidRPr="00534D28">
        <w:rPr>
          <w:rFonts w:ascii="Arial" w:eastAsia="Calibri" w:hAnsi="Arial" w:cs="Arial"/>
          <w:i/>
          <w:sz w:val="20"/>
          <w:szCs w:val="20"/>
          <w:u w:val="single"/>
        </w:rPr>
        <w:t>при формировании и исполнении бюджета городского округа – это 11</w:t>
      </w:r>
      <w:r w:rsidRPr="00534D28">
        <w:rPr>
          <w:rFonts w:ascii="Arial" w:hAnsi="Arial" w:cs="Arial"/>
          <w:sz w:val="20"/>
          <w:szCs w:val="20"/>
        </w:rPr>
        <w:t xml:space="preserve"> нарушений на сумму 376 393 460 (триста семьдесят шесть миллионов триста девяносто три тысячи четыреста шестьдесят) рублей, в 2020 году было 9 нарушений на сумму 2 945 000 (два миллиона девятьсот сорок пять тысяч) рублей.</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21,43 процента нарушений относятся к нарушениям</w:t>
      </w:r>
      <w:r w:rsidRPr="00534D28">
        <w:rPr>
          <w:rFonts w:ascii="Arial" w:hAnsi="Arial" w:cs="Arial"/>
          <w:i/>
          <w:sz w:val="20"/>
          <w:szCs w:val="20"/>
        </w:rPr>
        <w:t xml:space="preserve"> </w:t>
      </w:r>
      <w:r w:rsidRPr="00534D28">
        <w:rPr>
          <w:rFonts w:ascii="Arial" w:hAnsi="Arial" w:cs="Arial"/>
          <w:sz w:val="20"/>
          <w:szCs w:val="20"/>
        </w:rPr>
        <w:t>при осуществлении государственных (муниципальных) закупок и закупок отдельными видами юридических лиц – это 3 нарушения, не имеющих стоимостного выражения.</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hAnsi="Arial" w:cs="Arial"/>
          <w:sz w:val="20"/>
          <w:szCs w:val="20"/>
        </w:rPr>
        <w:t>Нарушений ведения бухгалтерского учета, составления и представления бухгалтерской (финансовой) отчетности в результате экспертно-аналитических мероприятий в 2021 году, равно как и в 2020 году выявлено не было.</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Классификация нарушений по экспертно-аналитическим мероприятиям:</w:t>
      </w:r>
    </w:p>
    <w:p w:rsidR="00534D28" w:rsidRPr="00534D28" w:rsidRDefault="00534D28" w:rsidP="00534D28">
      <w:pPr>
        <w:pStyle w:val="a5"/>
        <w:numPr>
          <w:ilvl w:val="0"/>
          <w:numId w:val="1"/>
        </w:numPr>
        <w:spacing w:after="0" w:line="360" w:lineRule="auto"/>
        <w:ind w:left="0" w:firstLine="709"/>
        <w:jc w:val="both"/>
        <w:rPr>
          <w:rFonts w:ascii="Arial" w:eastAsia="Calibri" w:hAnsi="Arial" w:cs="Arial"/>
          <w:sz w:val="20"/>
          <w:szCs w:val="20"/>
        </w:rPr>
      </w:pPr>
      <w:r w:rsidRPr="00534D28">
        <w:rPr>
          <w:rFonts w:ascii="Arial" w:eastAsia="Calibri" w:hAnsi="Arial" w:cs="Arial"/>
          <w:i/>
          <w:sz w:val="20"/>
          <w:szCs w:val="20"/>
          <w:u w:val="single"/>
        </w:rPr>
        <w:lastRenderedPageBreak/>
        <w:t>При формировании и исполнении бюджета городского округа</w:t>
      </w:r>
      <w:r w:rsidRPr="00534D28">
        <w:rPr>
          <w:rFonts w:ascii="Arial" w:eastAsia="Calibri" w:hAnsi="Arial" w:cs="Arial"/>
          <w:sz w:val="20"/>
          <w:szCs w:val="20"/>
        </w:rPr>
        <w:t xml:space="preserve"> относятся нарушения:</w:t>
      </w:r>
    </w:p>
    <w:p w:rsidR="00534D28" w:rsidRPr="00534D28" w:rsidRDefault="00534D28" w:rsidP="00534D28">
      <w:pPr>
        <w:spacing w:after="0" w:line="360" w:lineRule="auto"/>
        <w:ind w:firstLine="709"/>
        <w:jc w:val="both"/>
        <w:rPr>
          <w:rFonts w:ascii="Arial" w:hAnsi="Arial" w:cs="Arial"/>
          <w:sz w:val="20"/>
          <w:szCs w:val="20"/>
        </w:rPr>
      </w:pPr>
      <w:r w:rsidRPr="00534D28">
        <w:rPr>
          <w:rFonts w:ascii="Arial" w:hAnsi="Arial" w:cs="Arial"/>
          <w:sz w:val="20"/>
          <w:szCs w:val="20"/>
        </w:rPr>
        <w:t>- порядка реализации государственных (муниципальных) программ;</w:t>
      </w:r>
    </w:p>
    <w:p w:rsidR="00534D28" w:rsidRPr="00534D28" w:rsidRDefault="00534D28" w:rsidP="00534D28">
      <w:pPr>
        <w:spacing w:after="0" w:line="360" w:lineRule="auto"/>
        <w:ind w:firstLine="709"/>
        <w:jc w:val="both"/>
        <w:rPr>
          <w:rFonts w:ascii="Arial" w:hAnsi="Arial" w:cs="Arial"/>
          <w:sz w:val="20"/>
          <w:szCs w:val="20"/>
        </w:rPr>
      </w:pPr>
      <w:r w:rsidRPr="00534D28">
        <w:rPr>
          <w:rFonts w:ascii="Arial" w:hAnsi="Arial" w:cs="Arial"/>
          <w:sz w:val="20"/>
          <w:szCs w:val="20"/>
        </w:rPr>
        <w:t>- неосуществление бюджетных полномочий главного администратора (администратора) доходов бюджета;</w:t>
      </w:r>
    </w:p>
    <w:p w:rsidR="00534D28" w:rsidRPr="00534D28" w:rsidRDefault="00534D28" w:rsidP="00534D28">
      <w:pPr>
        <w:spacing w:after="0" w:line="360" w:lineRule="auto"/>
        <w:ind w:firstLine="709"/>
        <w:jc w:val="both"/>
        <w:rPr>
          <w:rFonts w:ascii="Arial" w:hAnsi="Arial" w:cs="Arial"/>
          <w:sz w:val="20"/>
          <w:szCs w:val="20"/>
        </w:rPr>
      </w:pPr>
      <w:r w:rsidRPr="00534D28">
        <w:rPr>
          <w:rFonts w:ascii="Arial" w:hAnsi="Arial" w:cs="Arial"/>
          <w:sz w:val="20"/>
          <w:szCs w:val="20"/>
        </w:rPr>
        <w:t xml:space="preserve">- при выполнении или невыполнении государственных (муниципальных) задач и функций государственными органами местного самоуправления, органами государственных внебюджетных фондов; </w:t>
      </w:r>
    </w:p>
    <w:p w:rsidR="00534D28" w:rsidRPr="00534D28" w:rsidRDefault="00534D28" w:rsidP="00534D28">
      <w:pPr>
        <w:spacing w:after="0" w:line="360" w:lineRule="auto"/>
        <w:ind w:firstLine="709"/>
        <w:jc w:val="both"/>
        <w:rPr>
          <w:rFonts w:ascii="Arial" w:hAnsi="Arial" w:cs="Arial"/>
          <w:sz w:val="20"/>
          <w:szCs w:val="20"/>
        </w:rPr>
      </w:pPr>
      <w:r w:rsidRPr="00534D28">
        <w:rPr>
          <w:rFonts w:ascii="Arial" w:hAnsi="Arial" w:cs="Arial"/>
          <w:sz w:val="20"/>
          <w:szCs w:val="20"/>
        </w:rPr>
        <w:t>- неэффективное использование бюджетных средств в ходе исполнения бюджетов.</w:t>
      </w:r>
    </w:p>
    <w:p w:rsidR="00534D28" w:rsidRPr="00534D28" w:rsidRDefault="00534D28" w:rsidP="00534D28">
      <w:pPr>
        <w:pStyle w:val="a5"/>
        <w:numPr>
          <w:ilvl w:val="0"/>
          <w:numId w:val="1"/>
        </w:numPr>
        <w:spacing w:after="0" w:line="360" w:lineRule="auto"/>
        <w:ind w:left="0" w:firstLine="709"/>
        <w:jc w:val="both"/>
        <w:rPr>
          <w:rFonts w:ascii="Arial" w:hAnsi="Arial" w:cs="Arial"/>
          <w:sz w:val="20"/>
          <w:szCs w:val="20"/>
        </w:rPr>
      </w:pPr>
      <w:r w:rsidRPr="00534D28">
        <w:rPr>
          <w:rFonts w:ascii="Arial" w:hAnsi="Arial" w:cs="Arial"/>
          <w:sz w:val="20"/>
          <w:szCs w:val="20"/>
        </w:rPr>
        <w:t xml:space="preserve">При осуществлении государственных (муниципальных) закупок и закупок отдельными видами юридических лиц относятся нарушения: </w:t>
      </w:r>
    </w:p>
    <w:p w:rsidR="00534D28" w:rsidRPr="00534D28" w:rsidRDefault="00534D28" w:rsidP="00534D28">
      <w:pPr>
        <w:spacing w:after="0" w:line="360" w:lineRule="auto"/>
        <w:ind w:firstLine="709"/>
        <w:jc w:val="both"/>
        <w:rPr>
          <w:rFonts w:ascii="Arial" w:hAnsi="Arial" w:cs="Arial"/>
          <w:sz w:val="20"/>
          <w:szCs w:val="20"/>
        </w:rPr>
      </w:pPr>
      <w:r w:rsidRPr="00534D28">
        <w:rPr>
          <w:rFonts w:ascii="Arial" w:hAnsi="Arial" w:cs="Arial"/>
          <w:sz w:val="20"/>
          <w:szCs w:val="20"/>
        </w:rPr>
        <w:t>- порядка расторжения контракта (договора);</w:t>
      </w:r>
    </w:p>
    <w:p w:rsidR="00534D28" w:rsidRPr="00534D28" w:rsidRDefault="00534D28" w:rsidP="00534D28">
      <w:pPr>
        <w:spacing w:after="0" w:line="360" w:lineRule="auto"/>
        <w:ind w:firstLine="709"/>
        <w:jc w:val="both"/>
        <w:rPr>
          <w:rFonts w:ascii="Arial" w:hAnsi="Arial" w:cs="Arial"/>
          <w:sz w:val="20"/>
          <w:szCs w:val="20"/>
        </w:rPr>
      </w:pPr>
      <w:r w:rsidRPr="00534D28">
        <w:rPr>
          <w:rFonts w:ascii="Arial" w:hAnsi="Arial" w:cs="Arial"/>
          <w:sz w:val="20"/>
          <w:szCs w:val="20"/>
        </w:rPr>
        <w:t>- непредставление, несвоевременное представление информации (сведений) и (или) документов, подлежащих включению в реестр контрактов, заключенных заказчиками, реестр контрактов, содержащего сведения, составляющие государственную тайну, или направление недостоверной информации (сведений) и (или) документов, содержащих недостоверную информацию;</w:t>
      </w:r>
    </w:p>
    <w:p w:rsidR="00534D28" w:rsidRPr="00534D28" w:rsidRDefault="00534D28" w:rsidP="00534D28">
      <w:pPr>
        <w:spacing w:after="0" w:line="360" w:lineRule="auto"/>
        <w:ind w:firstLine="709"/>
        <w:jc w:val="both"/>
        <w:rPr>
          <w:rFonts w:ascii="Arial" w:hAnsi="Arial" w:cs="Arial"/>
          <w:sz w:val="20"/>
          <w:szCs w:val="20"/>
        </w:rPr>
      </w:pPr>
      <w:r w:rsidRPr="00534D28">
        <w:rPr>
          <w:rFonts w:ascii="Arial" w:hAnsi="Arial" w:cs="Arial"/>
          <w:sz w:val="20"/>
          <w:szCs w:val="20"/>
        </w:rPr>
        <w:t>- не 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w:t>
      </w:r>
    </w:p>
    <w:p w:rsidR="00534D28" w:rsidRPr="00534D28" w:rsidRDefault="00534D28" w:rsidP="00534D28">
      <w:pPr>
        <w:spacing w:after="0" w:line="360" w:lineRule="auto"/>
        <w:ind w:firstLine="709"/>
        <w:contextualSpacing/>
        <w:jc w:val="both"/>
        <w:rPr>
          <w:rFonts w:ascii="Arial" w:eastAsia="Times New Roman" w:hAnsi="Arial" w:cs="Arial"/>
          <w:sz w:val="20"/>
          <w:szCs w:val="20"/>
          <w:lang w:eastAsia="ru-RU"/>
        </w:rPr>
      </w:pPr>
      <w:r w:rsidRPr="00534D28">
        <w:rPr>
          <w:rFonts w:ascii="Arial" w:eastAsia="Times New Roman" w:hAnsi="Arial" w:cs="Arial"/>
          <w:sz w:val="20"/>
          <w:szCs w:val="20"/>
          <w:lang w:eastAsia="ru-RU"/>
        </w:rPr>
        <w:t xml:space="preserve">По результатам всех экспертно-аналитических мероприятий составлены заключения, которые размещены на официальном сайте администрации городского округа Долгопрудный на странице Контрольно-ревизионной комиссии.  </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Также в 2020 году в рамках экспертно-аналитической деятельности проведено 20 экспертиз проектов решений Совета депутатов городского округа Долгопрудный Московской области и подготовлено 20 экспертных заключений, в том числе 10 заключений на проекты решений о бюджете городского округа и 10 заключений на иные проекты решений Совета депутатов городского округа Долгопрудный Московской области.</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Таким образом, ВСЕГО по результатам деятельности КРК в 2021 году количество выявленных нарушений по результатам контрольных и экспертно-аналитических мероприятий составило 95, что на 18,8% меньше, чем в 2020 году (было 117), объем нарушений составил 468 401 810 (четыреста шестьдесят восемь миллионов четыреста одна тысяча восемьсот десять) рублей, что ниже, чем за 2020 год на 26%, когда было выявлено нарушений на сумму 633 364 570 (шестьсот тридцать три миллиона триста шестьдесят четыре тысячи пятьсот семьдесят) рублей. </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bCs/>
          <w:sz w:val="20"/>
          <w:szCs w:val="20"/>
        </w:rPr>
        <w:t>Объем и структура выявленных в ходе контрольных и экспертно-аналитических мероприятий нарушений определялись в соответствии с Классификатором нарушений, выявляемых в ходе внешнего государственного (муниципального) аудита (контроля), одобренного Советом контрольно-счетных органов при Счетной палате РФ 17.12.2014, протокол № 2 СК СР с учетом региональных особенностей (в редакции распоряжения КСП МО № 41Р-56 от 13.07.2020)</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По результатам   проведенных мероприятий предложено устранить (предотвратить) нарушений, выявленных в 2021 году, на общую сумму 458 117 770 (четыреста пятьдесят восемь миллионов сто семнадцать тысяч семьсот семьдесят) рублей, из них устранено:</w:t>
      </w:r>
    </w:p>
    <w:p w:rsidR="00534D28" w:rsidRPr="00534D28" w:rsidRDefault="00534D28" w:rsidP="00534D28">
      <w:pPr>
        <w:pStyle w:val="a5"/>
        <w:numPr>
          <w:ilvl w:val="0"/>
          <w:numId w:val="2"/>
        </w:numPr>
        <w:spacing w:after="0" w:line="360" w:lineRule="auto"/>
        <w:ind w:left="0" w:firstLine="709"/>
        <w:jc w:val="both"/>
        <w:rPr>
          <w:rFonts w:ascii="Arial" w:eastAsia="Calibri" w:hAnsi="Arial" w:cs="Arial"/>
          <w:sz w:val="20"/>
          <w:szCs w:val="20"/>
        </w:rPr>
      </w:pPr>
      <w:r w:rsidRPr="00534D28">
        <w:rPr>
          <w:rFonts w:ascii="Arial" w:eastAsia="Calibri" w:hAnsi="Arial" w:cs="Arial"/>
          <w:sz w:val="20"/>
          <w:szCs w:val="20"/>
        </w:rPr>
        <w:t>1 815 170 (один миллион восемьсот пятнадцать тысяч сто семьдесят) рублей устранено путем возмещения денежных средств в бюджет городского округа;</w:t>
      </w:r>
    </w:p>
    <w:p w:rsidR="00534D28" w:rsidRPr="00534D28" w:rsidRDefault="00534D28" w:rsidP="00534D28">
      <w:pPr>
        <w:pStyle w:val="a5"/>
        <w:numPr>
          <w:ilvl w:val="0"/>
          <w:numId w:val="2"/>
        </w:numPr>
        <w:spacing w:after="0" w:line="360" w:lineRule="auto"/>
        <w:ind w:left="0" w:firstLine="709"/>
        <w:jc w:val="both"/>
        <w:rPr>
          <w:rFonts w:ascii="Arial" w:eastAsia="Calibri" w:hAnsi="Arial" w:cs="Arial"/>
          <w:sz w:val="20"/>
          <w:szCs w:val="20"/>
        </w:rPr>
      </w:pPr>
      <w:r w:rsidRPr="00534D28">
        <w:rPr>
          <w:rFonts w:ascii="Arial" w:eastAsia="Calibri" w:hAnsi="Arial" w:cs="Arial"/>
          <w:sz w:val="20"/>
          <w:szCs w:val="20"/>
        </w:rPr>
        <w:lastRenderedPageBreak/>
        <w:t>440 031 460 (четыреста сорок миллионов тридцать одна тысяча четыреста шестьдесят) рублей устранено путем предотвращения их реализации (устранения выявленного нарушения).</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Кроме того, общий объем устраненных нарушений, выявленных по результатам контрольных мероприятий, завершенных в предыдущие годы, составил 435 420 (четыреста тридцать пять тысяч четыреста двадцать) рублей, из них:</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- 207 380 (двести семь тысяч триста восемьдесят) рублей устранено путем возмещения денежных средств в бюджет городского округа;</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- 228 040 (двести двадцать восемь тысяч сорок) рублей устранены путем предотвращения их реализации (устранения выявленного нарушения).</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В отчетном году продолжалась работа по профилактике и предупреждению нарушений и повышению бюджетной дисциплины.</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По результатам контрольных, экспертно-аналитических мероприятий, финансово-экономических экспертиз, проведенным в 2021 году, контрольно-счетным органом муниципального образования предложено внести изменения или принять в 23 (двадцать три) муниципальных правовых акта, из которых приняты (внесены изменения) в 21 (двадцать один) муниципальный правовой акт, 2 (два) сняты с контроля по объективным обстоятельствам. </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По результатам выполнения представлений КРК в части принятия мер по привлечению к ответственности должностных лиц, виновных в допущенных нарушениях законодательства, привлечено к дисциплинарной ответственности 15 должностных лиц, которым вынесено замечание. </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В соответствии с Кодексом Российской Федерации об административных правонарушениях в январе 2021 года по итогам работы за 2020 год было составлено 2 (два) протокола об административных правонарушениях и в течение 2021 года в отношении должностных лиц, допустивших соответствующие нарушения, составлено 7 (семь) протоколов об административных правонарушениях, по результатам рассмотрения которых мировым судом наложены штрафы на виновных должностных лиц. </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 xml:space="preserve">Сумма наложенных штрафов составила 95,0 тыс. руб., которые поступили в бюджет городского округа в полном объеме.  </w:t>
      </w:r>
    </w:p>
    <w:p w:rsidR="00534D28" w:rsidRPr="00534D28" w:rsidRDefault="00534D28" w:rsidP="00534D28">
      <w:pPr>
        <w:spacing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Контрольно-ревизионная комиссия города Долгопрудного с 2013 года является членом Совета контрольно-счетных органов при Контрольно-счетной палате Московской области.</w:t>
      </w:r>
    </w:p>
    <w:p w:rsidR="00534D28" w:rsidRPr="00534D28" w:rsidRDefault="00534D28" w:rsidP="00534D28">
      <w:pPr>
        <w:spacing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Председатель контрольно-ревизионной комиссии города Долгопрудного Дуброва Н.В. является ответственным секретарем Правовой комиссии Совета контрольно-счетных органов при Контрольно-счетной палате Московской области.</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В течение 2021 года КРК взаимодействовала с Контрольно-счетной палатой Московской области по вопросам обмена опытом, обучения и методики проведения мероприятий.</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xml:space="preserve">Сотрудники в течение года принимали участие в совещаниях и семинарах, проводимых в 2021 году в режиме видеоконференцсвязи.  </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В ведении контрольно-ревизионной комиссии находятся следующие информационные системы:</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Справочная правовая система Гарант;</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Справочная правовая система Консультант плюс;</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Ведомственная информационная система КСП Московской области, в которую в 2021 году осуществлялся сбор и ввод данных ежеквартальной отчетности;</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lastRenderedPageBreak/>
        <w:t>-  Государственная информационная система «Единая система государственного финансового контроля»- ГИС ЕСГФК, в которой Контрольно-ревизионная комиссия в 2021 году продолжила работу. Данная система введена в эксплуатацию в 2018 году. В нее вводятся все данные по результатам проверок;</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Межведомственная система электронного документооборота (МСЭД);</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Портал Счетной палаты Российской Федерации и контрольно-счетных органов Российской Федерации.</w:t>
      </w:r>
    </w:p>
    <w:p w:rsidR="00534D28" w:rsidRPr="00534D28" w:rsidRDefault="00534D28" w:rsidP="00534D28">
      <w:pPr>
        <w:autoSpaceDE w:val="0"/>
        <w:autoSpaceDN w:val="0"/>
        <w:adjustRightInd w:val="0"/>
        <w:spacing w:after="0" w:line="360" w:lineRule="auto"/>
        <w:ind w:firstLine="709"/>
        <w:contextualSpacing/>
        <w:jc w:val="both"/>
        <w:rPr>
          <w:rFonts w:ascii="Arial" w:eastAsia="Calibri" w:hAnsi="Arial" w:cs="Arial"/>
          <w:sz w:val="20"/>
          <w:szCs w:val="20"/>
          <w:lang w:eastAsia="ru-RU"/>
        </w:rPr>
      </w:pPr>
      <w:r w:rsidRPr="00534D28">
        <w:rPr>
          <w:rFonts w:ascii="Arial" w:eastAsia="Calibri" w:hAnsi="Arial" w:cs="Arial"/>
          <w:b/>
          <w:bCs/>
          <w:i/>
          <w:sz w:val="20"/>
          <w:szCs w:val="20"/>
          <w:u w:val="single"/>
          <w:lang w:eastAsia="ru-RU"/>
        </w:rPr>
        <w:t>Информирование о деятельности контрольно-ревизионной комиссии</w:t>
      </w:r>
      <w:r w:rsidRPr="00534D28">
        <w:rPr>
          <w:rFonts w:ascii="Arial" w:eastAsia="Calibri" w:hAnsi="Arial" w:cs="Arial"/>
          <w:bCs/>
          <w:sz w:val="20"/>
          <w:szCs w:val="20"/>
          <w:u w:val="single"/>
          <w:lang w:eastAsia="ru-RU"/>
        </w:rPr>
        <w:t xml:space="preserve"> </w:t>
      </w:r>
      <w:r w:rsidRPr="00534D28">
        <w:rPr>
          <w:rFonts w:ascii="Arial" w:eastAsia="Calibri" w:hAnsi="Arial" w:cs="Arial"/>
          <w:bCs/>
          <w:sz w:val="20"/>
          <w:szCs w:val="20"/>
          <w:lang w:eastAsia="ru-RU"/>
        </w:rPr>
        <w:t xml:space="preserve">осуществлялось в соответствии со статьей 19 ФЗ-6 </w:t>
      </w:r>
      <w:r w:rsidRPr="00534D28">
        <w:rPr>
          <w:rFonts w:ascii="Arial" w:eastAsia="Calibri" w:hAnsi="Arial" w:cs="Arial"/>
          <w:sz w:val="20"/>
          <w:szCs w:val="20"/>
        </w:rPr>
        <w:t>«Об общих принципах организации и деятельности контрольно-счетных органов субъектов Российской Федерации и муниципальных образований»</w:t>
      </w:r>
      <w:r w:rsidRPr="00534D28">
        <w:rPr>
          <w:rFonts w:ascii="Arial" w:eastAsia="Calibri" w:hAnsi="Arial" w:cs="Arial"/>
          <w:bCs/>
          <w:sz w:val="20"/>
          <w:szCs w:val="20"/>
          <w:lang w:eastAsia="ru-RU"/>
        </w:rPr>
        <w:t xml:space="preserve"> и статьей 17 Положения о контрольно – ревизионной комиссии города Долгопрудного утвержденного Решением</w:t>
      </w:r>
      <w:r w:rsidRPr="00534D28">
        <w:rPr>
          <w:rFonts w:ascii="Arial" w:eastAsia="Calibri" w:hAnsi="Arial" w:cs="Arial"/>
          <w:sz w:val="20"/>
          <w:szCs w:val="20"/>
          <w:lang w:eastAsia="ru-RU"/>
        </w:rPr>
        <w:t xml:space="preserve"> Совета депутатов г. Долгопрудного от</w:t>
      </w:r>
      <w:r w:rsidRPr="00534D28">
        <w:rPr>
          <w:rFonts w:ascii="Arial" w:eastAsia="Calibri" w:hAnsi="Arial" w:cs="Arial"/>
          <w:bCs/>
          <w:sz w:val="20"/>
          <w:szCs w:val="20"/>
          <w:lang w:eastAsia="ru-RU"/>
        </w:rPr>
        <w:t xml:space="preserve"> 28.05.2012 г. №75-нр «О создании контрольно – ревизионной комиссии города Долгопрудного» (со всеми изменениями</w:t>
      </w:r>
      <w:r w:rsidRPr="00534D28">
        <w:rPr>
          <w:rFonts w:ascii="Arial" w:eastAsia="Calibri" w:hAnsi="Arial" w:cs="Arial"/>
          <w:sz w:val="20"/>
          <w:szCs w:val="20"/>
          <w:lang w:eastAsia="ru-RU"/>
        </w:rPr>
        <w:t>).</w:t>
      </w:r>
    </w:p>
    <w:p w:rsidR="00534D28" w:rsidRPr="00534D28" w:rsidRDefault="00534D28" w:rsidP="00534D28">
      <w:pPr>
        <w:autoSpaceDE w:val="0"/>
        <w:autoSpaceDN w:val="0"/>
        <w:adjustRightInd w:val="0"/>
        <w:spacing w:after="0" w:line="360" w:lineRule="auto"/>
        <w:ind w:firstLine="709"/>
        <w:contextualSpacing/>
        <w:jc w:val="both"/>
        <w:rPr>
          <w:rFonts w:ascii="Arial" w:eastAsia="Calibri" w:hAnsi="Arial" w:cs="Arial"/>
          <w:bCs/>
          <w:sz w:val="20"/>
          <w:szCs w:val="20"/>
          <w:lang w:eastAsia="ru-RU"/>
        </w:rPr>
      </w:pPr>
      <w:r w:rsidRPr="00534D28">
        <w:rPr>
          <w:rFonts w:ascii="Arial" w:eastAsia="Calibri" w:hAnsi="Arial" w:cs="Arial"/>
          <w:bCs/>
          <w:sz w:val="20"/>
          <w:szCs w:val="20"/>
          <w:lang w:eastAsia="ru-RU"/>
        </w:rPr>
        <w:t xml:space="preserve">Нами активно проводилась работа по наполнению страницы контрольно-ревизионной комиссии на официальном сайте администрации в сети Интернет необходимой информацией, а также информационному наполнению и использованию Портала Счетной палаты Российской Федерации. </w:t>
      </w:r>
    </w:p>
    <w:p w:rsidR="00534D28" w:rsidRPr="00534D28" w:rsidRDefault="00534D28" w:rsidP="00534D28">
      <w:pPr>
        <w:pStyle w:val="ConsPlusTitle"/>
        <w:spacing w:line="360" w:lineRule="auto"/>
        <w:ind w:firstLine="709"/>
        <w:contextualSpacing/>
        <w:jc w:val="both"/>
        <w:rPr>
          <w:rFonts w:ascii="Arial" w:hAnsi="Arial" w:cs="Arial"/>
          <w:b w:val="0"/>
          <w:sz w:val="20"/>
          <w:szCs w:val="20"/>
        </w:rPr>
      </w:pPr>
      <w:r w:rsidRPr="00534D28">
        <w:rPr>
          <w:rFonts w:ascii="Arial" w:hAnsi="Arial" w:cs="Arial"/>
          <w:b w:val="0"/>
          <w:sz w:val="20"/>
          <w:szCs w:val="20"/>
        </w:rPr>
        <w:t>По результатам мониторинга по определению отдельных критериев, характеризующих уровень открытости и доступности информации о деятельности контрольно-счетных органов муниципальных образований Московской области в 2021 году, проведенного Комиссией по этике Совета КСО при КСП МО, страница контрольно-ревизионной комиссии на официальном сайте администрации городского округа Долгопрудный вошла в число сайтов контрольно-счётных органов Московской области, соответствующих показателю «Высокий показатель уровня открытости, доступности и актуальности информации о деятельности», что соответствует показателю 100 процентов. Также мы вошли в число контрольно-счётных органов Московской области, соответствующих показателю «Высокий показатель информационного наполнения и степени использования Портала КСО», что также соответствует показателю 100 процентов.</w:t>
      </w:r>
    </w:p>
    <w:p w:rsidR="00534D28" w:rsidRPr="00534D28" w:rsidRDefault="00534D28" w:rsidP="00534D28">
      <w:pPr>
        <w:autoSpaceDE w:val="0"/>
        <w:autoSpaceDN w:val="0"/>
        <w:adjustRightInd w:val="0"/>
        <w:spacing w:after="0" w:line="360" w:lineRule="auto"/>
        <w:ind w:firstLine="709"/>
        <w:contextualSpacing/>
        <w:jc w:val="both"/>
        <w:rPr>
          <w:rFonts w:ascii="Arial" w:eastAsia="Calibri" w:hAnsi="Arial" w:cs="Arial"/>
          <w:bCs/>
          <w:sz w:val="20"/>
          <w:szCs w:val="20"/>
          <w:lang w:eastAsia="ru-RU"/>
        </w:rPr>
      </w:pPr>
      <w:r w:rsidRPr="00534D28">
        <w:rPr>
          <w:rFonts w:ascii="Arial" w:eastAsia="Calibri" w:hAnsi="Arial" w:cs="Arial"/>
          <w:bCs/>
          <w:sz w:val="20"/>
          <w:szCs w:val="20"/>
          <w:lang w:eastAsia="ru-RU"/>
        </w:rPr>
        <w:t>Этот показатель мы удерживаем с 2018 года, когда наша комиссия вошла в число контрольно-счетных органов, которые впервые достигли показателя 100% по размещаемой на сайте и портале Счетной палаты РФ информации.</w:t>
      </w:r>
    </w:p>
    <w:p w:rsidR="00534D28" w:rsidRPr="00534D28" w:rsidRDefault="00534D28" w:rsidP="00534D28">
      <w:pPr>
        <w:autoSpaceDE w:val="0"/>
        <w:autoSpaceDN w:val="0"/>
        <w:adjustRightInd w:val="0"/>
        <w:spacing w:after="0" w:line="360" w:lineRule="auto"/>
        <w:ind w:firstLine="709"/>
        <w:contextualSpacing/>
        <w:jc w:val="both"/>
        <w:rPr>
          <w:rFonts w:ascii="Arial" w:eastAsia="Calibri" w:hAnsi="Arial" w:cs="Arial"/>
          <w:bCs/>
          <w:sz w:val="20"/>
          <w:szCs w:val="20"/>
          <w:lang w:eastAsia="ru-RU"/>
        </w:rPr>
      </w:pPr>
      <w:r w:rsidRPr="00534D28">
        <w:rPr>
          <w:rFonts w:ascii="Arial" w:eastAsia="Calibri" w:hAnsi="Arial" w:cs="Arial"/>
          <w:bCs/>
          <w:sz w:val="20"/>
          <w:szCs w:val="20"/>
          <w:lang w:eastAsia="ru-RU"/>
        </w:rPr>
        <w:t>По данным Мингосуправления Московской области в 2021 г. в общероссийском Рейтинге взаимодействия участников с Государственной информационной системой о государственных и муниципальных платежах (ГИС ГМП) Контрольно-ревизионная комиссия городского округа Долгопрудный достигла показателя 100 % за своевременное выставление начислений в ГИС ГМП и поступления платежей в бюджет городского округа по наложенным административным штрафам за нарушения бюджетного законодательства.</w:t>
      </w:r>
    </w:p>
    <w:p w:rsidR="00534D28" w:rsidRPr="00534D28" w:rsidRDefault="00534D28" w:rsidP="00534D28">
      <w:pPr>
        <w:autoSpaceDE w:val="0"/>
        <w:autoSpaceDN w:val="0"/>
        <w:adjustRightInd w:val="0"/>
        <w:spacing w:line="360" w:lineRule="auto"/>
        <w:ind w:firstLine="709"/>
        <w:contextualSpacing/>
        <w:jc w:val="both"/>
        <w:outlineLvl w:val="1"/>
        <w:rPr>
          <w:rFonts w:ascii="Arial" w:eastAsia="Calibri" w:hAnsi="Arial" w:cs="Arial"/>
          <w:bCs/>
          <w:sz w:val="20"/>
          <w:szCs w:val="20"/>
        </w:rPr>
      </w:pPr>
      <w:r w:rsidRPr="00534D28">
        <w:rPr>
          <w:rFonts w:ascii="Arial" w:eastAsia="Calibri" w:hAnsi="Arial" w:cs="Arial"/>
          <w:bCs/>
          <w:sz w:val="20"/>
          <w:szCs w:val="20"/>
        </w:rPr>
        <w:t xml:space="preserve">КРК в целях обеспечения доступа к информации о своей деятельности в 2021 году разместила на официальном сайте администрации города Долгопрудного в сети Интернет отчетные материалы о своей деятельности в количестве 41 материал. </w:t>
      </w:r>
    </w:p>
    <w:p w:rsidR="00534D28" w:rsidRPr="00534D28" w:rsidRDefault="00534D28" w:rsidP="00534D28">
      <w:pPr>
        <w:autoSpaceDE w:val="0"/>
        <w:autoSpaceDN w:val="0"/>
        <w:adjustRightInd w:val="0"/>
        <w:spacing w:line="360" w:lineRule="auto"/>
        <w:ind w:firstLine="709"/>
        <w:contextualSpacing/>
        <w:jc w:val="both"/>
        <w:outlineLvl w:val="1"/>
        <w:rPr>
          <w:rFonts w:ascii="Arial" w:eastAsia="Calibri" w:hAnsi="Arial" w:cs="Arial"/>
          <w:bCs/>
          <w:sz w:val="20"/>
          <w:szCs w:val="20"/>
        </w:rPr>
      </w:pPr>
      <w:r w:rsidRPr="00534D28">
        <w:rPr>
          <w:rFonts w:ascii="Arial" w:eastAsia="Calibri" w:hAnsi="Arial" w:cs="Arial"/>
          <w:bCs/>
          <w:sz w:val="20"/>
          <w:szCs w:val="20"/>
        </w:rPr>
        <w:t>Также на странице КРК регулярно размещаются новости о текущей и проделанной работе.</w:t>
      </w:r>
    </w:p>
    <w:p w:rsidR="00534D28" w:rsidRPr="00534D28" w:rsidRDefault="00534D28" w:rsidP="00534D28">
      <w:pPr>
        <w:spacing w:line="360" w:lineRule="auto"/>
        <w:ind w:firstLine="709"/>
        <w:contextualSpacing/>
        <w:jc w:val="both"/>
        <w:rPr>
          <w:rFonts w:ascii="Arial" w:eastAsia="Calibri" w:hAnsi="Arial" w:cs="Arial"/>
          <w:bCs/>
          <w:sz w:val="20"/>
          <w:szCs w:val="20"/>
        </w:rPr>
      </w:pPr>
      <w:r w:rsidRPr="00534D28">
        <w:rPr>
          <w:rFonts w:ascii="Arial" w:eastAsia="Calibri" w:hAnsi="Arial" w:cs="Arial"/>
          <w:bCs/>
          <w:sz w:val="20"/>
          <w:szCs w:val="20"/>
        </w:rPr>
        <w:t>Количество информационных сообщений о деятельности КРК за отчетный период составило – 175, из которых:</w:t>
      </w:r>
    </w:p>
    <w:p w:rsidR="00534D28" w:rsidRPr="00534D28" w:rsidRDefault="00534D28" w:rsidP="00534D28">
      <w:pPr>
        <w:spacing w:line="360" w:lineRule="auto"/>
        <w:ind w:firstLine="709"/>
        <w:contextualSpacing/>
        <w:jc w:val="both"/>
        <w:rPr>
          <w:rFonts w:ascii="Arial" w:eastAsia="Calibri" w:hAnsi="Arial" w:cs="Arial"/>
          <w:bCs/>
          <w:sz w:val="20"/>
          <w:szCs w:val="20"/>
        </w:rPr>
      </w:pPr>
      <w:r w:rsidRPr="00534D28">
        <w:rPr>
          <w:rFonts w:ascii="Arial" w:eastAsia="Calibri" w:hAnsi="Arial" w:cs="Arial"/>
          <w:bCs/>
          <w:sz w:val="20"/>
          <w:szCs w:val="20"/>
        </w:rPr>
        <w:t>- количество публикаций и сообщений в печатных изданиях – 12 материалов;</w:t>
      </w:r>
    </w:p>
    <w:p w:rsidR="00534D28" w:rsidRPr="00534D28" w:rsidRDefault="00534D28" w:rsidP="00534D28">
      <w:pPr>
        <w:spacing w:line="360" w:lineRule="auto"/>
        <w:ind w:firstLine="709"/>
        <w:contextualSpacing/>
        <w:jc w:val="both"/>
        <w:rPr>
          <w:rFonts w:ascii="Arial" w:eastAsia="Calibri" w:hAnsi="Arial" w:cs="Arial"/>
          <w:bCs/>
          <w:sz w:val="20"/>
          <w:szCs w:val="20"/>
        </w:rPr>
      </w:pPr>
      <w:r w:rsidRPr="00534D28">
        <w:rPr>
          <w:rFonts w:ascii="Arial" w:eastAsia="Calibri" w:hAnsi="Arial" w:cs="Arial"/>
          <w:bCs/>
          <w:sz w:val="20"/>
          <w:szCs w:val="20"/>
        </w:rPr>
        <w:t>- количество материалов на сайтах в сети «Интернет» – 163 материала.</w:t>
      </w:r>
    </w:p>
    <w:p w:rsidR="00534D28" w:rsidRPr="00534D28" w:rsidRDefault="00534D28" w:rsidP="00534D28">
      <w:pPr>
        <w:spacing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lastRenderedPageBreak/>
        <w:t>В целях исполнения действующего законодательства на странице КРК на официальном сайте администрации имеется возможность для граждан и юридических лиц для прямого обращения в электронном виде. Также граждане и юридические лица могут обратиться непосредственно на личный прием к председателю КРК.</w:t>
      </w:r>
    </w:p>
    <w:p w:rsidR="00534D28" w:rsidRPr="00534D28" w:rsidRDefault="00534D28" w:rsidP="00534D28">
      <w:pPr>
        <w:spacing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xml:space="preserve">Обращения граждан и юридических лиц принимаются и рассматриваются в соответствии с Федеральным законом от 02.05.2006 № 59-ФЗ «О порядке рассмотрения обращений граждан Российской Федерации», Законом Московской области от 05.10.2006 № 164/2006-ОЗ «О рассмотрении обращений граждан». </w:t>
      </w:r>
    </w:p>
    <w:p w:rsidR="00534D28" w:rsidRPr="00534D28" w:rsidRDefault="00534D28" w:rsidP="00534D28">
      <w:pPr>
        <w:spacing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В отчетном году в Контрольно-ревизионную комиссию поступило 7 обращений от граждан. Поступившие обращения были рассмотрены в КРК, заявителям были подготовлены и направлены ответы на 5 обращений и 2 обращения переданы на исполнение в соответствии с полномочиями других органов власти. В 2020 году было два обращения от граждан, которые были отработаны в полном объеме.</w:t>
      </w:r>
    </w:p>
    <w:p w:rsidR="00534D28" w:rsidRPr="00534D28" w:rsidRDefault="00534D28" w:rsidP="00534D28">
      <w:pPr>
        <w:spacing w:after="0" w:line="360" w:lineRule="auto"/>
        <w:ind w:firstLine="709"/>
        <w:contextualSpacing/>
        <w:jc w:val="both"/>
        <w:rPr>
          <w:rFonts w:ascii="Arial" w:eastAsia="Times New Roman" w:hAnsi="Arial" w:cs="Arial"/>
          <w:sz w:val="20"/>
          <w:szCs w:val="20"/>
          <w:lang w:eastAsia="ru-RU"/>
        </w:rPr>
      </w:pPr>
      <w:r w:rsidRPr="00534D28">
        <w:rPr>
          <w:rFonts w:ascii="Arial" w:eastAsia="Times New Roman" w:hAnsi="Arial" w:cs="Arial"/>
          <w:sz w:val="20"/>
          <w:szCs w:val="20"/>
          <w:lang w:eastAsia="ru-RU"/>
        </w:rPr>
        <w:t xml:space="preserve">В 2021 году </w:t>
      </w:r>
      <w:r w:rsidRPr="00534D28">
        <w:rPr>
          <w:rFonts w:ascii="Arial" w:eastAsia="Times New Roman" w:hAnsi="Arial" w:cs="Arial"/>
          <w:bCs/>
          <w:iCs/>
          <w:sz w:val="20"/>
          <w:szCs w:val="20"/>
          <w:lang w:eastAsia="ru-RU"/>
        </w:rPr>
        <w:t xml:space="preserve">Контрольно-ревизионная комиссия </w:t>
      </w:r>
      <w:r w:rsidRPr="00534D28">
        <w:rPr>
          <w:rFonts w:ascii="Arial" w:eastAsia="Times New Roman" w:hAnsi="Arial" w:cs="Arial"/>
          <w:sz w:val="20"/>
          <w:szCs w:val="20"/>
          <w:lang w:eastAsia="ru-RU"/>
        </w:rPr>
        <w:t xml:space="preserve">продолжит работу по совершенствованию внешнего финансового контроля, </w:t>
      </w:r>
      <w:r w:rsidRPr="00534D28">
        <w:rPr>
          <w:rFonts w:ascii="Verdana" w:eastAsia="Times New Roman" w:hAnsi="Verdana" w:cs="Arial"/>
          <w:sz w:val="20"/>
          <w:szCs w:val="20"/>
          <w:lang w:eastAsia="ru-RU"/>
        </w:rPr>
        <w:t xml:space="preserve">повышению его качества и эффективности, </w:t>
      </w:r>
      <w:r w:rsidRPr="00534D28">
        <w:rPr>
          <w:rFonts w:ascii="Arial" w:eastAsia="Times New Roman" w:hAnsi="Arial" w:cs="Arial"/>
          <w:sz w:val="20"/>
          <w:szCs w:val="20"/>
          <w:lang w:eastAsia="ru-RU"/>
        </w:rPr>
        <w:t xml:space="preserve">а также работу, направленную на совершенствование бюджетного процесса и обеспечение большей прозрачности при формировании и исполнении бюджета городского округа Долгопрудный. </w:t>
      </w:r>
    </w:p>
    <w:p w:rsidR="00534D28" w:rsidRPr="00534D28" w:rsidRDefault="00534D28" w:rsidP="00534D28">
      <w:pPr>
        <w:shd w:val="clear" w:color="auto" w:fill="FFFFFF"/>
        <w:spacing w:after="0" w:line="360" w:lineRule="auto"/>
        <w:ind w:firstLine="709"/>
        <w:jc w:val="both"/>
        <w:rPr>
          <w:rFonts w:ascii="Arial" w:eastAsia="Times New Roman" w:hAnsi="Arial" w:cs="Arial"/>
          <w:sz w:val="20"/>
          <w:szCs w:val="20"/>
          <w:lang w:eastAsia="ru-RU"/>
        </w:rPr>
      </w:pPr>
      <w:r w:rsidRPr="00534D28">
        <w:rPr>
          <w:rFonts w:ascii="Arial" w:eastAsia="Times New Roman" w:hAnsi="Arial" w:cs="Arial"/>
          <w:sz w:val="20"/>
          <w:szCs w:val="20"/>
          <w:lang w:eastAsia="ru-RU"/>
        </w:rPr>
        <w:t>Для этого планируется усилить меры по организации контроля за ходом исполнения представлений, предписаний и информационных писем Контрольно-ревизионной комиссии, недопущение случаев формального отношения руководителей проверенных объектов контроля (учреждений и организаций) к подготовке ответов по выполнению мероприятий по устранению выявленных нарушений и недостатков, отраженных в актах и заключениях КРК.</w:t>
      </w:r>
    </w:p>
    <w:p w:rsidR="00534D28" w:rsidRPr="00534D28" w:rsidRDefault="00534D28" w:rsidP="00534D28">
      <w:pPr>
        <w:spacing w:after="0" w:line="360" w:lineRule="auto"/>
        <w:ind w:firstLine="709"/>
        <w:contextualSpacing/>
        <w:jc w:val="both"/>
        <w:rPr>
          <w:rFonts w:ascii="Arial" w:eastAsia="Times New Roman" w:hAnsi="Arial" w:cs="Arial"/>
          <w:sz w:val="20"/>
          <w:szCs w:val="20"/>
          <w:lang w:eastAsia="ru-RU"/>
        </w:rPr>
      </w:pPr>
      <w:r w:rsidRPr="00534D28">
        <w:rPr>
          <w:rFonts w:ascii="Arial" w:eastAsia="Times New Roman" w:hAnsi="Arial" w:cs="Arial"/>
          <w:sz w:val="20"/>
          <w:szCs w:val="20"/>
          <w:lang w:eastAsia="ru-RU"/>
        </w:rPr>
        <w:t xml:space="preserve">Приоритетным направлением дальнейшей деятельности также будет работа по применению элементов аудита эффективности и результативности использования муниципальной собственности и бюджетных средств. </w:t>
      </w:r>
    </w:p>
    <w:p w:rsidR="00534D28" w:rsidRPr="00534D28" w:rsidRDefault="00534D28" w:rsidP="00534D28">
      <w:pPr>
        <w:spacing w:after="0" w:line="360" w:lineRule="auto"/>
        <w:ind w:firstLine="709"/>
        <w:jc w:val="both"/>
        <w:rPr>
          <w:rFonts w:ascii="Arial" w:eastAsia="Calibri" w:hAnsi="Arial" w:cs="Arial"/>
          <w:sz w:val="20"/>
          <w:szCs w:val="20"/>
        </w:rPr>
      </w:pPr>
      <w:r w:rsidRPr="00534D28">
        <w:rPr>
          <w:rFonts w:ascii="Arial" w:eastAsia="Calibri" w:hAnsi="Arial" w:cs="Arial"/>
          <w:sz w:val="20"/>
          <w:szCs w:val="20"/>
        </w:rPr>
        <w:t>В 2021 году все контрольные мероприятия были проведены в соответствии с планом работы Контрольно-ревизионной комиссии на 2021 год, утвержденным распоряжением председателя от 29 декабря 2020 года № 141. Внеплановые контрольные мероприятия по обращениям прокуратуры, полиции, граждан не проводились.</w:t>
      </w:r>
    </w:p>
    <w:p w:rsidR="00534D28" w:rsidRPr="00534D28" w:rsidRDefault="00534D28" w:rsidP="00534D28">
      <w:pPr>
        <w:spacing w:after="0" w:line="360" w:lineRule="auto"/>
        <w:ind w:firstLine="709"/>
        <w:contextualSpacing/>
        <w:jc w:val="both"/>
        <w:rPr>
          <w:rFonts w:ascii="Arial" w:eastAsia="Calibri" w:hAnsi="Arial" w:cs="Arial"/>
          <w:sz w:val="20"/>
          <w:szCs w:val="20"/>
        </w:rPr>
      </w:pPr>
      <w:r w:rsidRPr="00534D28">
        <w:rPr>
          <w:rFonts w:ascii="Arial" w:eastAsia="Calibri" w:hAnsi="Arial" w:cs="Arial"/>
          <w:sz w:val="20"/>
          <w:szCs w:val="20"/>
        </w:rPr>
        <w:t xml:space="preserve">План работы Контрольно-ревизионной комиссии городского округа Долгопрудный на 2021 год выполнен в полном объеме. </w:t>
      </w:r>
    </w:p>
    <w:p w:rsidR="00534D28" w:rsidRPr="00534D28" w:rsidRDefault="00534D28" w:rsidP="00534D28">
      <w:pPr>
        <w:spacing w:after="0" w:line="360" w:lineRule="auto"/>
        <w:ind w:firstLine="709"/>
        <w:jc w:val="both"/>
        <w:rPr>
          <w:sz w:val="20"/>
          <w:szCs w:val="20"/>
        </w:rPr>
      </w:pPr>
      <w:r w:rsidRPr="00534D28">
        <w:rPr>
          <w:rFonts w:ascii="Arial" w:eastAsia="Times New Roman" w:hAnsi="Arial" w:cs="Arial"/>
          <w:sz w:val="20"/>
          <w:szCs w:val="20"/>
          <w:lang w:eastAsia="ru-RU"/>
        </w:rPr>
        <w:t xml:space="preserve">Спасибо за внимание! </w:t>
      </w:r>
    </w:p>
    <w:p w:rsidR="00A250FB" w:rsidRPr="00534D28" w:rsidRDefault="00A250FB">
      <w:pPr>
        <w:rPr>
          <w:sz w:val="20"/>
          <w:szCs w:val="20"/>
        </w:rPr>
      </w:pPr>
    </w:p>
    <w:sectPr w:rsidR="00A250FB" w:rsidRPr="00534D28" w:rsidSect="00434B11">
      <w:headerReference w:type="default" r:id="rId5"/>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3676"/>
      <w:docPartObj>
        <w:docPartGallery w:val="Page Numbers (Top of Page)"/>
        <w:docPartUnique/>
      </w:docPartObj>
    </w:sdtPr>
    <w:sdtEndPr/>
    <w:sdtContent>
      <w:p w:rsidR="00437670" w:rsidRDefault="00EC7DF0">
        <w:pPr>
          <w:pStyle w:val="a3"/>
          <w:jc w:val="right"/>
        </w:pPr>
        <w:r>
          <w:fldChar w:fldCharType="begin"/>
        </w:r>
        <w:r>
          <w:instrText>PAGE   \* MERGEFORMAT</w:instrText>
        </w:r>
        <w:r>
          <w:fldChar w:fldCharType="separate"/>
        </w:r>
        <w:r>
          <w:rPr>
            <w:noProof/>
          </w:rPr>
          <w:t>6</w:t>
        </w:r>
        <w:r>
          <w:fldChar w:fldCharType="end"/>
        </w:r>
      </w:p>
    </w:sdtContent>
  </w:sdt>
  <w:p w:rsidR="00437670" w:rsidRDefault="00EC7DF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C635F"/>
    <w:multiLevelType w:val="hybridMultilevel"/>
    <w:tmpl w:val="CBECB0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A3930BD"/>
    <w:multiLevelType w:val="hybridMultilevel"/>
    <w:tmpl w:val="102833A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28"/>
    <w:rsid w:val="00534D28"/>
    <w:rsid w:val="00A250FB"/>
    <w:rsid w:val="00EC7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B6002-A3FA-4A4D-A7AC-DA76553C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D2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D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4D28"/>
  </w:style>
  <w:style w:type="paragraph" w:styleId="a5">
    <w:name w:val="List Paragraph"/>
    <w:basedOn w:val="a"/>
    <w:uiPriority w:val="34"/>
    <w:qFormat/>
    <w:rsid w:val="00534D28"/>
    <w:pPr>
      <w:ind w:left="720"/>
      <w:contextualSpacing/>
    </w:pPr>
  </w:style>
  <w:style w:type="paragraph" w:customStyle="1" w:styleId="ConsPlusTitle">
    <w:name w:val="ConsPlusTitle"/>
    <w:rsid w:val="00534D28"/>
    <w:pPr>
      <w:autoSpaceDE w:val="0"/>
      <w:autoSpaceDN w:val="0"/>
      <w:adjustRightInd w:val="0"/>
      <w:spacing w:after="0" w:line="240" w:lineRule="auto"/>
    </w:pPr>
    <w:rPr>
      <w:rFonts w:ascii="Times New Roman" w:eastAsia="Calibri"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4118</Words>
  <Characters>23477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Контрольно-Ревизионная комиссия</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2022-04-21T09:34:00Z</dcterms:created>
  <dcterms:modified xsi:type="dcterms:W3CDTF">2022-04-21T09:34:00Z</dcterms:modified>
</cp:coreProperties>
</file>