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88" w:rsidRPr="00886297" w:rsidRDefault="002C1788" w:rsidP="002C178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Доклад председателя</w:t>
      </w:r>
    </w:p>
    <w:p w:rsidR="002C1788" w:rsidRPr="00886297" w:rsidRDefault="002C1788" w:rsidP="002C1788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Контрольно-счетной палаты городского округа Долгопрудный на публичных слушаниях по проекту бюджета</w:t>
      </w:r>
    </w:p>
    <w:p w:rsidR="002C1788" w:rsidRPr="00886297" w:rsidRDefault="002C1788" w:rsidP="002C1788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 xml:space="preserve"> городского округа Долгопрудный</w:t>
      </w:r>
    </w:p>
    <w:p w:rsidR="002C1788" w:rsidRPr="00886297" w:rsidRDefault="002C1788" w:rsidP="002C1788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на 2023 год и плановый период 2024 и 2025 годов</w:t>
      </w:r>
    </w:p>
    <w:p w:rsidR="002C1788" w:rsidRPr="00886297" w:rsidRDefault="002C1788" w:rsidP="002C1788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</w:p>
    <w:p w:rsidR="002C1788" w:rsidRPr="00886297" w:rsidRDefault="002C1788" w:rsidP="002C178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b/>
          <w:bCs/>
          <w:sz w:val="24"/>
          <w:szCs w:val="24"/>
          <w:lang w:eastAsia="ru-RU" w:bidi="en-US"/>
        </w:rPr>
        <w:t>Уважаемые президиум, участники публичных слушаний!</w:t>
      </w:r>
    </w:p>
    <w:p w:rsidR="002C1788" w:rsidRPr="00886297" w:rsidRDefault="002C1788" w:rsidP="002C1788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886297">
        <w:rPr>
          <w:rFonts w:ascii="Arial" w:eastAsia="Times New Roman" w:hAnsi="Arial" w:cs="Arial"/>
          <w:sz w:val="24"/>
          <w:szCs w:val="24"/>
          <w:lang w:eastAsia="ru-RU" w:bidi="en-US"/>
        </w:rPr>
        <w:t>Контрольно-счетной палатой проведена экспертиза проекта решения Совета депутатов «О бюджете городского округа Долгопрудный на 2023 год и плановый период 2024 и 2025 годов».</w:t>
      </w:r>
    </w:p>
    <w:p w:rsidR="002C1788" w:rsidRPr="00886297" w:rsidRDefault="002C1788" w:rsidP="002C1788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По результатам экспертизы установлено следующее.</w:t>
      </w:r>
    </w:p>
    <w:p w:rsidR="002C1788" w:rsidRPr="00886297" w:rsidRDefault="002C1788" w:rsidP="002C1788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Проект решения внесен на рассмотрение в Совет депутатов в установленные сроки в соответствии с требованиями статьи 185 Бюджетного кодекса Российской Федерации и статьи 6 Положения о бюджетном процессе в городском округе Долгопрудный. </w:t>
      </w:r>
    </w:p>
    <w:p w:rsidR="002C1788" w:rsidRPr="00886297" w:rsidRDefault="002C1788" w:rsidP="002C1788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Проект размещен на сайте администрации, что соответствует принципу прозрачности (открытости), установленному статьей 36 Бюджетного кодекса Российской Федерации.</w:t>
      </w:r>
    </w:p>
    <w:p w:rsidR="002C1788" w:rsidRPr="00886297" w:rsidRDefault="002C1788" w:rsidP="002C1788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Состав документов в целом соответствует требованиям статьи 184.2 Бюджетного кодекса РФ и статей 6 и 7 Положения о бюджетном процессе в городском округе Долгопрудный. </w:t>
      </w:r>
    </w:p>
    <w:p w:rsidR="002C1788" w:rsidRPr="00886297" w:rsidRDefault="002C1788" w:rsidP="002C1788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 xml:space="preserve">В соответствии с требованиями Бюджетного кодекса РФ проект бюджета на очередной финансовый год и плановый период сформирован на основе одобренного прогноза социально-экономического развития, основных направлений бюджетной и налоговой политики. </w:t>
      </w:r>
    </w:p>
    <w:p w:rsidR="002C1788" w:rsidRPr="00886297" w:rsidRDefault="002C1788" w:rsidP="002C1788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Представленный проект бюджета содержит основные характеристики бюджета, к которым относятся общий объем доходов, расходов бюджета, дефицит бюджета, что соответствует требованиям статьи 184.1. БК РФ.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lastRenderedPageBreak/>
        <w:t>Бюджет сформирован бездефицитным на весь трехлетний период, чем соблюден принцип сбалансированности согласно статье 33 БК РФ.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В рамках анализа </w:t>
      </w:r>
      <w:r w:rsidR="00886297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текстовых статей проекта решения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следует отметить следующее:</w:t>
      </w:r>
    </w:p>
    <w:p w:rsidR="00805FB9" w:rsidRPr="00886297" w:rsidRDefault="00805FB9" w:rsidP="0009021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886297">
        <w:rPr>
          <w:rFonts w:ascii="Arial" w:hAnsi="Arial" w:cs="Arial"/>
          <w:bCs/>
          <w:sz w:val="24"/>
          <w:szCs w:val="24"/>
        </w:rPr>
        <w:t xml:space="preserve">Статьей 9 </w:t>
      </w:r>
      <w:r w:rsidR="00227601" w:rsidRPr="00886297">
        <w:rPr>
          <w:rFonts w:ascii="Arial" w:hAnsi="Arial" w:cs="Arial"/>
          <w:bCs/>
          <w:sz w:val="24"/>
          <w:szCs w:val="24"/>
        </w:rPr>
        <w:t xml:space="preserve">проекта </w:t>
      </w:r>
      <w:r w:rsidRPr="00886297">
        <w:rPr>
          <w:rFonts w:ascii="Arial" w:hAnsi="Arial" w:cs="Arial"/>
          <w:bCs/>
          <w:sz w:val="24"/>
          <w:szCs w:val="24"/>
        </w:rPr>
        <w:t>установлен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Долгопрудный на 2023 год в размере 3 652,1 тыс. рублей, на 2024 год в размере 3 652,1 тыс. рублей, на 2025 год в размере 3 652,1 тыс. рублей.</w:t>
      </w:r>
    </w:p>
    <w:p w:rsidR="00090218" w:rsidRPr="00886297" w:rsidRDefault="00805FB9" w:rsidP="00090218">
      <w:pPr>
        <w:pStyle w:val="ConsNormal"/>
        <w:spacing w:line="360" w:lineRule="auto"/>
        <w:jc w:val="both"/>
        <w:rPr>
          <w:rFonts w:ascii="Arial" w:hAnsi="Arial" w:cs="Arial"/>
          <w:bCs/>
        </w:rPr>
      </w:pPr>
      <w:r w:rsidRPr="00886297">
        <w:rPr>
          <w:rFonts w:ascii="Arial" w:hAnsi="Arial" w:cs="Arial"/>
          <w:bCs/>
        </w:rPr>
        <w:t xml:space="preserve">Однако, административные штрафы не классифицированы по отдельному коду бюджетной классификации. </w:t>
      </w:r>
    </w:p>
    <w:p w:rsidR="00805FB9" w:rsidRPr="00886297" w:rsidRDefault="00805FB9" w:rsidP="00090218">
      <w:pPr>
        <w:pStyle w:val="ConsNormal"/>
        <w:spacing w:line="360" w:lineRule="auto"/>
        <w:jc w:val="both"/>
        <w:rPr>
          <w:rFonts w:ascii="Arial" w:hAnsi="Arial" w:cs="Arial"/>
          <w:bCs/>
        </w:rPr>
      </w:pPr>
      <w:r w:rsidRPr="00886297">
        <w:rPr>
          <w:rFonts w:ascii="Arial" w:hAnsi="Arial" w:cs="Arial"/>
          <w:bCs/>
        </w:rPr>
        <w:t>Целесообразно в доходных приложениях к проекту определить отдельный код бюджетной к</w:t>
      </w:r>
      <w:r w:rsidR="00090218" w:rsidRPr="00886297">
        <w:rPr>
          <w:rFonts w:ascii="Arial" w:hAnsi="Arial" w:cs="Arial"/>
          <w:bCs/>
        </w:rPr>
        <w:t xml:space="preserve">лассификации для этих штрафов на случай их </w:t>
      </w:r>
      <w:r w:rsidRPr="00886297">
        <w:rPr>
          <w:rFonts w:ascii="Arial" w:hAnsi="Arial" w:cs="Arial"/>
          <w:bCs/>
        </w:rPr>
        <w:t>поступления в бюдже</w:t>
      </w:r>
      <w:r w:rsidR="00090218" w:rsidRPr="00886297">
        <w:rPr>
          <w:rFonts w:ascii="Arial" w:hAnsi="Arial" w:cs="Arial"/>
          <w:bCs/>
        </w:rPr>
        <w:t>т городского округа</w:t>
      </w:r>
      <w:r w:rsidRPr="00886297">
        <w:rPr>
          <w:rFonts w:ascii="Arial" w:hAnsi="Arial" w:cs="Arial"/>
          <w:bCs/>
        </w:rPr>
        <w:t xml:space="preserve"> с целью их дальнейшего целевого направления расходования. </w:t>
      </w:r>
    </w:p>
    <w:p w:rsidR="002C1788" w:rsidRPr="00886297" w:rsidRDefault="002C1788" w:rsidP="00090218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Норма статьи 11 проекта в соответствии со стат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>ьей 69.2 БК РФ устанавливается П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орядком формирования муниципального задания и финансового обеспечения вып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>олнения муниципального задания.</w:t>
      </w:r>
    </w:p>
    <w:p w:rsidR="00744075" w:rsidRPr="00886297" w:rsidRDefault="00873E0D" w:rsidP="00090218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Норма статьи </w:t>
      </w:r>
      <w:r w:rsidR="004B6689" w:rsidRPr="00886297">
        <w:rPr>
          <w:rFonts w:ascii="Arial" w:eastAsiaTheme="minorEastAsia" w:hAnsi="Arial" w:cs="Arial"/>
          <w:sz w:val="24"/>
          <w:szCs w:val="24"/>
          <w:lang w:bidi="en-US"/>
        </w:rPr>
        <w:t>16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 проекта установлена «Положением о бюджетном процессе в 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>городском округе Долгопрудный».</w:t>
      </w:r>
    </w:p>
    <w:p w:rsidR="002C1788" w:rsidRPr="00886297" w:rsidRDefault="002C1788" w:rsidP="00744075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Таким образом, нет необходимости данн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>ые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 норм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>ы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 повторять в решении о бюджете.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По формированию </w:t>
      </w:r>
      <w:r w:rsidR="00886297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доходной части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проекта бюджета на трехлетний период можно отметить следующее.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При формировании доходов соблюдены установленные нормативы зачисления в бюджет налоговых доходов, объемы безвозмездных поступлений в соответствии с проектом закона Московской области «О бюджете Московской области на 2023 год и на плановый период 2024 и 2025 годов».</w:t>
      </w:r>
    </w:p>
    <w:p w:rsidR="002C1788" w:rsidRPr="00886297" w:rsidRDefault="002C1788" w:rsidP="002C1788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86297">
        <w:rPr>
          <w:rFonts w:ascii="Arial" w:hAnsi="Arial" w:cs="Arial"/>
          <w:sz w:val="24"/>
          <w:szCs w:val="24"/>
        </w:rPr>
        <w:t xml:space="preserve">Предлагаемые к утверждению объёмы доходов бюджета на 2023-2025 годы, в основном определены, исходя из ожидаемого поступления доходов в 2022 году и прогнозных показателей главных администраторов доходов бюджета. </w:t>
      </w:r>
    </w:p>
    <w:p w:rsidR="002C1788" w:rsidRPr="00886297" w:rsidRDefault="002C1788" w:rsidP="002C17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>Проведена оценка эффективности налоговых льгот по местным налогам.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Ежегодные выпадающие доходы бюджета от предоставления налоговых льгот физическим и юридическим лицам по двум налогам (это земельный налог и налог на имущество физических лиц) ежегодно составят 33,6 млн. руб., это в среднем 8,4% от планируемых к поступлению. 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по налоговым доходам на 2023 год определены с увеличением относительно ожидаемого исполнения бюджета в 2022 году на 15% и в собственных доходах бюджета составят 78,3%.  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по неналоговым доходам на 2023 год определены со снижением относительно ожидаемого исполнения бюджета в 2022 году на 10,9% и в собственных доходах бюджета составят 21,7%.  </w:t>
      </w:r>
    </w:p>
    <w:p w:rsidR="002C1788" w:rsidRPr="00886297" w:rsidRDefault="002C1788" w:rsidP="002C1788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По результатам анализа неналоговых доходов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есть основания полагать, что отдельные прогнозные объемы неналоговых доходов в проекте бюджета несколько занижены, что является нарушением требований статьи 37 БК РФ о реалистичности расчета доходов.</w:t>
      </w:r>
    </w:p>
    <w:p w:rsidR="00090218" w:rsidRPr="00886297" w:rsidRDefault="004B6689" w:rsidP="00090218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86297">
        <w:rPr>
          <w:rFonts w:ascii="Arial" w:eastAsia="Times New Roman" w:hAnsi="Arial" w:cs="Arial"/>
          <w:sz w:val="24"/>
          <w:szCs w:val="24"/>
          <w:lang w:eastAsia="ru-RU"/>
        </w:rPr>
        <w:t>Реализация имущества, находящегося в муниципальной собственности, осуществляется в порядке приватизации</w:t>
      </w:r>
      <w:r w:rsidR="00873E0D"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</w:t>
      </w:r>
      <w:r w:rsidR="00090218" w:rsidRPr="00886297">
        <w:rPr>
          <w:rFonts w:ascii="Arial" w:hAnsi="Arial" w:cs="Arial"/>
          <w:sz w:val="24"/>
          <w:szCs w:val="24"/>
        </w:rPr>
        <w:t xml:space="preserve">Федеральными законами от 21.12.2001 № 178-ФЗ «О приватизации государственного и муниципального имущества» и от 22.07.2008 № 159-ФЗ «Об особенностях отчуждения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РФ». </w:t>
      </w:r>
    </w:p>
    <w:p w:rsidR="004B6689" w:rsidRPr="00886297" w:rsidRDefault="004B6689" w:rsidP="004B668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297">
        <w:rPr>
          <w:rFonts w:ascii="Arial" w:eastAsia="Times New Roman" w:hAnsi="Arial" w:cs="Arial"/>
          <w:sz w:val="24"/>
          <w:szCs w:val="24"/>
          <w:lang w:eastAsia="ru-RU"/>
        </w:rPr>
        <w:t>Следует отметить, что на момент проведения экспертизы план приватизации на 2023 год</w:t>
      </w:r>
      <w:r w:rsidR="00090218"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и плановый период 2024 и 2025 годов не утвержден, а также отсутствует проект плана приватизации. </w:t>
      </w:r>
    </w:p>
    <w:p w:rsidR="004B6689" w:rsidRPr="00886297" w:rsidRDefault="004B6689" w:rsidP="004B668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В проекте решения о бюджете городского округа прогнозируются доходы от реализации имущества, находящегося в муниципальной собственности, хотя </w:t>
      </w:r>
      <w:r w:rsidR="00090218"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сам </w:t>
      </w:r>
      <w:r w:rsidR="00873E0D" w:rsidRPr="00886297">
        <w:rPr>
          <w:rFonts w:ascii="Arial" w:eastAsia="Times New Roman" w:hAnsi="Arial" w:cs="Arial"/>
          <w:sz w:val="24"/>
          <w:szCs w:val="24"/>
          <w:lang w:eastAsia="ru-RU"/>
        </w:rPr>
        <w:t>проект решения</w:t>
      </w:r>
      <w:r w:rsidRPr="00886297">
        <w:rPr>
          <w:rFonts w:ascii="Arial" w:eastAsia="Times New Roman" w:hAnsi="Arial" w:cs="Arial"/>
          <w:sz w:val="24"/>
          <w:szCs w:val="24"/>
          <w:lang w:eastAsia="ru-RU"/>
        </w:rPr>
        <w:t xml:space="preserve"> не содержит сведений об объектах имущества и предполагаемом сроке приватизации муниципальной собственности, в связи с чем не представляется возможным определить достоверность предлагаемого к утверждению показателя. </w:t>
      </w:r>
    </w:p>
    <w:p w:rsidR="002C1788" w:rsidRPr="00886297" w:rsidRDefault="002C1788" w:rsidP="002C1788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Объем безвозмездных поступлений в бюджет городского округа из бюджетов других уровней в 2023 году планируется на 3,2% больше относительно ожидаемого исполнения бюджета 2022 года. </w:t>
      </w:r>
    </w:p>
    <w:p w:rsidR="002C1788" w:rsidRPr="00886297" w:rsidRDefault="00886297" w:rsidP="002C1788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>
        <w:rPr>
          <w:rFonts w:ascii="Arial" w:eastAsiaTheme="minorEastAsia" w:hAnsi="Arial" w:cs="Arial"/>
          <w:sz w:val="24"/>
          <w:szCs w:val="24"/>
          <w:lang w:bidi="en-US"/>
        </w:rPr>
        <w:t>П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ри проверке прогнозирования расходов бюджета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 установлено следующее.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Расходы бюджета сформированы в соответствии с правами и полномочиями органов местного самоуправления с учетом разграничения указанных бюджетных полномочий между органами государственной власти и органами местного самоуправления.</w:t>
      </w:r>
    </w:p>
    <w:p w:rsidR="002C1788" w:rsidRPr="00886297" w:rsidRDefault="002C1788" w:rsidP="002C1788">
      <w:pPr>
        <w:spacing w:after="0" w:line="36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Расходы бюджета на 2023 год и плановый период 2024 и 2025 годов сформированы по программно-целевому принципу. Проектом бюджета предусмотрены расходы на реализацию 18 муниципальных программ. 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Однако, актуальный Перечень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муниципальных программ, реализация которых планируется к осуществлению в 2023 и последующих годах </w:t>
      </w:r>
      <w:r w:rsidR="00744075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в проекте решения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отсутствует.</w:t>
      </w:r>
    </w:p>
    <w:p w:rsidR="002C1788" w:rsidRPr="00886297" w:rsidRDefault="002C1788" w:rsidP="002C1788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Общий объем расходов бюджета городского округа Долгопрудный на 2023 год запланирован с незначительным уменьшением к ожидаемому исполнению бюджета 2022 года на 0,9 %.</w:t>
      </w:r>
    </w:p>
    <w:p w:rsidR="002C1788" w:rsidRPr="00886297" w:rsidRDefault="002C1788" w:rsidP="002C1788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Объемы бюджетных ассигнований, предусмотренных проектом на реализацию муниципальных программ городского округа, соответствуют объемам финансирования, предусмотренным проектами паспортов муниципальных программ, представленных одновременно с проектом.  </w:t>
      </w:r>
    </w:p>
    <w:p w:rsidR="002C1788" w:rsidRPr="00886297" w:rsidRDefault="002C1788" w:rsidP="002C1788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В проекте бюджета городского округа в 2023-2025 годах предусмотрено финансирование реализации национальных проектов «Образование», «Демография», «Жилье и городская среда», «Культура».</w:t>
      </w:r>
    </w:p>
    <w:p w:rsidR="002C1788" w:rsidRPr="00886297" w:rsidRDefault="002C1788" w:rsidP="002C1788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Ведомственная структура расходов на 2023-2025 годы сформирована по 6 главным распорядителям бюджетных средств, разделам, подразделам и целевым статьям. </w:t>
      </w:r>
    </w:p>
    <w:p w:rsidR="002C1788" w:rsidRPr="00886297" w:rsidRDefault="00886297" w:rsidP="002C1788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>
        <w:rPr>
          <w:rFonts w:ascii="Arial" w:eastAsiaTheme="minorEastAsia" w:hAnsi="Arial" w:cs="Arial"/>
          <w:sz w:val="24"/>
          <w:szCs w:val="24"/>
          <w:lang w:bidi="en-US"/>
        </w:rPr>
        <w:t>П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ри выборочной проверке и анализе формирования бюджетных ассигнований на финансовое обеспечение муниципальных заданий и на предоставление субсидий на иные цели установлено следующее.</w:t>
      </w:r>
    </w:p>
    <w:p w:rsidR="002C1788" w:rsidRPr="00886297" w:rsidRDefault="002C1788" w:rsidP="002C1788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Arial" w:eastAsia="Calibri" w:hAnsi="Arial" w:cs="Arial"/>
          <w:iCs/>
          <w:sz w:val="24"/>
          <w:szCs w:val="24"/>
          <w:lang w:bidi="en-US"/>
        </w:rPr>
      </w:pPr>
      <w:r w:rsidRPr="00886297">
        <w:rPr>
          <w:rFonts w:ascii="Arial" w:eastAsia="Calibri" w:hAnsi="Arial" w:cs="Arial"/>
          <w:iCs/>
          <w:sz w:val="24"/>
          <w:szCs w:val="24"/>
          <w:lang w:bidi="en-US"/>
        </w:rPr>
        <w:t xml:space="preserve">Муниципальные задания формируются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лицам. </w:t>
      </w:r>
    </w:p>
    <w:p w:rsidR="002C1788" w:rsidRPr="00886297" w:rsidRDefault="002C1788" w:rsidP="002C178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eastAsia="Calibri" w:hAnsi="Arial" w:cs="Arial"/>
          <w:iCs/>
          <w:sz w:val="24"/>
          <w:szCs w:val="24"/>
          <w:lang w:bidi="en-US"/>
        </w:rPr>
      </w:pPr>
      <w:r w:rsidRPr="00886297">
        <w:rPr>
          <w:rFonts w:ascii="Arial" w:eastAsia="Calibri" w:hAnsi="Arial" w:cs="Arial"/>
          <w:iCs/>
          <w:sz w:val="24"/>
          <w:szCs w:val="24"/>
          <w:lang w:bidi="en-US"/>
        </w:rPr>
        <w:t xml:space="preserve">Снижение показателей объема муниципальных заданий учреждений социальной сферы в натуральном выражении не планируется. </w:t>
      </w:r>
    </w:p>
    <w:p w:rsidR="002C1788" w:rsidRPr="00886297" w:rsidRDefault="002C1788" w:rsidP="002C1788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На обеспечение выполнения муниципальных заданий в 2023 году будет направлено 48,5% средств бюджета, из которых 77,4% приходится н</w:t>
      </w:r>
      <w:r w:rsidR="00227601" w:rsidRPr="00886297">
        <w:rPr>
          <w:rFonts w:ascii="Arial" w:eastAsiaTheme="minorEastAsia" w:hAnsi="Arial" w:cs="Arial"/>
          <w:sz w:val="24"/>
          <w:szCs w:val="24"/>
          <w:lang w:bidi="en-US"/>
        </w:rPr>
        <w:t>а учреждения, подведомственные У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правлению образования. </w:t>
      </w:r>
    </w:p>
    <w:p w:rsidR="002C1788" w:rsidRPr="00886297" w:rsidRDefault="002C1788" w:rsidP="002C1788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Источники внутреннего финансирования дефицита бюджета не планируются, так как не планируется дефицит бюджета.</w:t>
      </w:r>
    </w:p>
    <w:p w:rsidR="002C1788" w:rsidRPr="00886297" w:rsidRDefault="002C1788" w:rsidP="002C1788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Бюджетные средства на обслуживание муниципального долга не будут отвлекаться, поскольку привлечение муниципальных заимствований в 2023-2025 годах не планируется. </w:t>
      </w:r>
    </w:p>
    <w:p w:rsidR="002C1788" w:rsidRPr="00886297" w:rsidRDefault="00A92D75" w:rsidP="002C1788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С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>ледует отметить, что в текущем 2022 году присутствуют долговые обязательства по муниципальным гарантиям в объеме 249 496,0 тыс. руб.</w:t>
      </w:r>
    </w:p>
    <w:p w:rsidR="002C1788" w:rsidRPr="00886297" w:rsidRDefault="00A92D75" w:rsidP="002C1788">
      <w:pPr>
        <w:spacing w:after="0" w:line="360" w:lineRule="auto"/>
        <w:ind w:firstLine="54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Однако, д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>окументы, представленные с проектом решения, не содержат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 информации о предоставленной 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или 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 xml:space="preserve">не предоставленной </w:t>
      </w:r>
      <w:r w:rsidR="002C1788" w:rsidRPr="00886297">
        <w:rPr>
          <w:rFonts w:ascii="Arial" w:eastAsiaTheme="minorEastAsia" w:hAnsi="Arial" w:cs="Arial"/>
          <w:sz w:val="24"/>
          <w:szCs w:val="24"/>
          <w:lang w:bidi="en-US"/>
        </w:rPr>
        <w:t>в текущем 2022 году муниципальной гарантии</w:t>
      </w:r>
      <w:r w:rsidRPr="00886297">
        <w:rPr>
          <w:rFonts w:ascii="Arial" w:eastAsiaTheme="minorEastAsia" w:hAnsi="Arial" w:cs="Arial"/>
          <w:sz w:val="24"/>
          <w:szCs w:val="24"/>
          <w:lang w:bidi="en-US"/>
        </w:rPr>
        <w:t>.</w:t>
      </w:r>
    </w:p>
    <w:p w:rsidR="002C1788" w:rsidRPr="00886297" w:rsidRDefault="002C1788" w:rsidP="002C1788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b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="004964FE" w:rsidRPr="00886297">
        <w:rPr>
          <w:rFonts w:ascii="Arial" w:eastAsiaTheme="minorEastAsia" w:hAnsi="Arial" w:cs="Times New Roman"/>
          <w:b/>
          <w:sz w:val="24"/>
          <w:szCs w:val="24"/>
          <w:lang w:bidi="en-US"/>
        </w:rPr>
        <w:t>НА ОСНОВАНИИ ИЗЛОЖЕННОГО, КОНТРОЛЬНО-СЧЕТНАЯ ПАЛАТА ПРЕДЛАГАЕТ:</w:t>
      </w:r>
      <w:bookmarkStart w:id="0" w:name="_GoBack"/>
      <w:bookmarkEnd w:id="0"/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 xml:space="preserve"> </w:t>
      </w: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1. Устранить выявленные экспертизой недостатки в текстовой части проекта решения.</w:t>
      </w:r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2. В целях соблюдения требований статьи 37 БК РФ «Принцип достоверности бюджета» при формировании прогнозных показателей доходов и расходов отражать в пояснительной записке к проекту расчеты и обоснования планируемых к утверждению показателей.</w:t>
      </w:r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3. Определить отдельный код бюджетной классификации для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 на случай их поступления в бюджет городского округа и дальнейшего их целевого направления расходования.</w:t>
      </w:r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4. Администрации городского округа рассмотреть вопрос о регламентации сроков принятия муниципальных правовых актов, влияющих на определение размера бюджетных назначений по доходам и расходам на очередной финансовый год и плановый период до внесения проекта о бюджете городского округа на текущий финансовый год и плановый период на рассмотрение в Совет депутатов городского округа Долгопрудный Московской области, в том числе проекта прогнозного плана (программы) приватизации имущества, находящегося в муниципальной собственности.</w:t>
      </w:r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5. В соответствии с требованиями статьи 107 БК РФ, в случае выданной в 2022 году муниципальной гарантии, необходимо предусмотреть в проекте решения возникающие долговые обязательства, а также бюджетные ассигнования на исполнение муниципальных гарантий по возможным гарантийным случаям.</w:t>
      </w:r>
    </w:p>
    <w:p w:rsidR="002C1788" w:rsidRPr="00886297" w:rsidRDefault="002C1788" w:rsidP="002C1788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886297">
        <w:rPr>
          <w:rFonts w:ascii="Arial" w:eastAsiaTheme="minorEastAsia" w:hAnsi="Arial" w:cs="Times New Roman"/>
          <w:sz w:val="24"/>
          <w:szCs w:val="24"/>
          <w:lang w:bidi="en-US"/>
        </w:rPr>
        <w:tab/>
        <w:t>На основании изложенного, Контрольно-счетная палата городского округа Долгопрудный рекомендует к рассмотрению и принятию внесенный проект бюджета с учетом замечаний и предложений, изложенных в заключении</w:t>
      </w:r>
      <w:r w:rsidRPr="00886297">
        <w:rPr>
          <w:rFonts w:ascii="Arial" w:eastAsiaTheme="minorEastAsia" w:hAnsi="Arial" w:cs="Times New Roman"/>
          <w:spacing w:val="2"/>
          <w:sz w:val="24"/>
          <w:szCs w:val="24"/>
          <w:lang w:bidi="en-US"/>
        </w:rPr>
        <w:t>.</w:t>
      </w:r>
    </w:p>
    <w:p w:rsidR="00886297" w:rsidRPr="00886297" w:rsidRDefault="00886297" w:rsidP="00886297">
      <w:pPr>
        <w:spacing w:after="0" w:line="360" w:lineRule="auto"/>
        <w:ind w:firstLine="708"/>
        <w:rPr>
          <w:rFonts w:ascii="Arial" w:eastAsiaTheme="minorEastAsia" w:hAnsi="Arial" w:cs="Arial"/>
          <w:sz w:val="24"/>
          <w:szCs w:val="24"/>
          <w:lang w:bidi="en-US"/>
        </w:rPr>
      </w:pPr>
    </w:p>
    <w:p w:rsidR="002C1788" w:rsidRPr="00886297" w:rsidRDefault="002C1788" w:rsidP="00886297">
      <w:pPr>
        <w:spacing w:after="0" w:line="360" w:lineRule="auto"/>
        <w:ind w:firstLine="708"/>
        <w:rPr>
          <w:sz w:val="24"/>
          <w:szCs w:val="24"/>
        </w:rPr>
      </w:pPr>
      <w:r w:rsidRPr="00886297">
        <w:rPr>
          <w:rFonts w:ascii="Arial" w:eastAsiaTheme="minorEastAsia" w:hAnsi="Arial" w:cs="Arial"/>
          <w:sz w:val="24"/>
          <w:szCs w:val="24"/>
          <w:lang w:bidi="en-US"/>
        </w:rPr>
        <w:t>СПАСИБО ЗА ВНИМАНИЕ!</w:t>
      </w:r>
    </w:p>
    <w:p w:rsidR="002C1788" w:rsidRPr="00886297" w:rsidRDefault="002C1788" w:rsidP="002C1788">
      <w:pPr>
        <w:rPr>
          <w:sz w:val="24"/>
          <w:szCs w:val="24"/>
        </w:rPr>
      </w:pPr>
    </w:p>
    <w:p w:rsidR="00A250FB" w:rsidRPr="00886297" w:rsidRDefault="00A250FB">
      <w:pPr>
        <w:rPr>
          <w:sz w:val="24"/>
          <w:szCs w:val="24"/>
        </w:rPr>
      </w:pPr>
    </w:p>
    <w:sectPr w:rsidR="00A250FB" w:rsidRPr="00886297" w:rsidSect="00886297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3C" w:rsidRDefault="00B9512C">
      <w:pPr>
        <w:spacing w:after="0" w:line="240" w:lineRule="auto"/>
      </w:pPr>
      <w:r>
        <w:separator/>
      </w:r>
    </w:p>
  </w:endnote>
  <w:endnote w:type="continuationSeparator" w:id="0">
    <w:p w:rsidR="0096053C" w:rsidRDefault="00B9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3C" w:rsidRDefault="00B9512C">
      <w:pPr>
        <w:spacing w:after="0" w:line="240" w:lineRule="auto"/>
      </w:pPr>
      <w:r>
        <w:separator/>
      </w:r>
    </w:p>
  </w:footnote>
  <w:footnote w:type="continuationSeparator" w:id="0">
    <w:p w:rsidR="0096053C" w:rsidRDefault="00B9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655720"/>
      <w:docPartObj>
        <w:docPartGallery w:val="Page Numbers (Top of Page)"/>
        <w:docPartUnique/>
      </w:docPartObj>
    </w:sdtPr>
    <w:sdtEndPr/>
    <w:sdtContent>
      <w:p w:rsidR="00025C82" w:rsidRDefault="004964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297">
          <w:rPr>
            <w:noProof/>
          </w:rPr>
          <w:t>1</w:t>
        </w:r>
        <w:r>
          <w:fldChar w:fldCharType="end"/>
        </w:r>
      </w:p>
    </w:sdtContent>
  </w:sdt>
  <w:p w:rsidR="00025C82" w:rsidRDefault="008862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31A"/>
    <w:multiLevelType w:val="hybridMultilevel"/>
    <w:tmpl w:val="A3B62F4E"/>
    <w:lvl w:ilvl="0" w:tplc="86B41BE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D94782"/>
    <w:multiLevelType w:val="hybridMultilevel"/>
    <w:tmpl w:val="F9221B96"/>
    <w:lvl w:ilvl="0" w:tplc="A684A52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88"/>
    <w:rsid w:val="000725E6"/>
    <w:rsid w:val="00090218"/>
    <w:rsid w:val="001370C6"/>
    <w:rsid w:val="00226201"/>
    <w:rsid w:val="00227601"/>
    <w:rsid w:val="00294F1D"/>
    <w:rsid w:val="002C1788"/>
    <w:rsid w:val="004964FE"/>
    <w:rsid w:val="004B6689"/>
    <w:rsid w:val="004F7B1C"/>
    <w:rsid w:val="00537E9F"/>
    <w:rsid w:val="00744075"/>
    <w:rsid w:val="00805FB9"/>
    <w:rsid w:val="00873E0D"/>
    <w:rsid w:val="00886297"/>
    <w:rsid w:val="0096053C"/>
    <w:rsid w:val="009906FD"/>
    <w:rsid w:val="00A250FB"/>
    <w:rsid w:val="00A92D75"/>
    <w:rsid w:val="00B9512C"/>
    <w:rsid w:val="00C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E5B7"/>
  <w15:chartTrackingRefBased/>
  <w15:docId w15:val="{610DE000-1011-4F62-9647-86D870A8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2C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1788"/>
  </w:style>
  <w:style w:type="paragraph" w:customStyle="1" w:styleId="ConsNormal">
    <w:name w:val="ConsNormal"/>
    <w:rsid w:val="004F7B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7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05FB9"/>
    <w:rPr>
      <w:color w:val="0000FF"/>
      <w:u w:val="single"/>
    </w:rPr>
  </w:style>
  <w:style w:type="character" w:customStyle="1" w:styleId="a7">
    <w:name w:val="Обычный (веб) Знак"/>
    <w:link w:val="a6"/>
    <w:uiPriority w:val="99"/>
    <w:locked/>
    <w:rsid w:val="00805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BFD8-9DE2-4B4B-B07F-D78A720F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2022-11-25T13:07:00Z</cp:lastPrinted>
  <dcterms:created xsi:type="dcterms:W3CDTF">2022-11-25T13:12:00Z</dcterms:created>
  <dcterms:modified xsi:type="dcterms:W3CDTF">2022-11-25T13:12:00Z</dcterms:modified>
</cp:coreProperties>
</file>