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5" w:rsidRPr="0001275F" w:rsidRDefault="000F6435" w:rsidP="000F6435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1275F">
        <w:rPr>
          <w:rFonts w:ascii="Arial" w:hAnsi="Arial" w:cs="Arial"/>
          <w:b/>
          <w:sz w:val="24"/>
          <w:szCs w:val="24"/>
        </w:rPr>
        <w:t>Доклад на публичных слушаниях</w:t>
      </w:r>
    </w:p>
    <w:p w:rsidR="000F6435" w:rsidRPr="0001275F" w:rsidRDefault="000F6435" w:rsidP="000F6435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>по внешней проверке Отчета об исполнении бюджета</w:t>
      </w:r>
    </w:p>
    <w:p w:rsidR="000F6435" w:rsidRPr="0001275F" w:rsidRDefault="000F6435" w:rsidP="000F6435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>городского округа Долгопрудный за 2024 год и бюджетной</w:t>
      </w:r>
    </w:p>
    <w:p w:rsidR="000F6435" w:rsidRPr="0001275F" w:rsidRDefault="000F6435" w:rsidP="000F6435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>отчетности главных администраторов бюджетных средств за 2024 год.</w:t>
      </w:r>
    </w:p>
    <w:p w:rsidR="000F6435" w:rsidRPr="0001275F" w:rsidRDefault="000F6435" w:rsidP="000F6435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0F6435" w:rsidRPr="0001275F" w:rsidRDefault="000F6435" w:rsidP="000F6435">
      <w:pPr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1275F">
        <w:rPr>
          <w:rFonts w:ascii="Arial" w:hAnsi="Arial" w:cs="Arial"/>
          <w:b/>
          <w:sz w:val="24"/>
          <w:szCs w:val="24"/>
        </w:rPr>
        <w:t>Уважаемый президиум, уважаемые участники</w:t>
      </w:r>
    </w:p>
    <w:p w:rsidR="000F6435" w:rsidRPr="0001275F" w:rsidRDefault="000F6435" w:rsidP="000F6435">
      <w:pPr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1275F">
        <w:rPr>
          <w:rFonts w:ascii="Arial" w:hAnsi="Arial" w:cs="Arial"/>
          <w:b/>
          <w:sz w:val="24"/>
          <w:szCs w:val="24"/>
        </w:rPr>
        <w:t>публичных слушаний!</w:t>
      </w:r>
    </w:p>
    <w:p w:rsidR="000F6435" w:rsidRPr="0001275F" w:rsidRDefault="000F6435" w:rsidP="000F6435">
      <w:pPr>
        <w:spacing w:after="0" w:line="36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6435" w:rsidRPr="0001275F" w:rsidRDefault="000F6435" w:rsidP="000F6435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275F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Бюджетным кодексом Российской Федерации, Положением о бюджетном процессе в городском округе Долгопрудный, планом работы на 2025 год Контрольно-счетная палата городского округа провела внешнюю проверку Отчета об исполнении бюджета городского округа Долгопрудный за 2024 год, проверку бюджетной отчетности главных администраторов бюджетных средств и подготовила заключение.</w:t>
      </w:r>
    </w:p>
    <w:p w:rsidR="000F6435" w:rsidRPr="0001275F" w:rsidRDefault="000F6435" w:rsidP="000F6435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275F">
        <w:rPr>
          <w:rFonts w:ascii="Arial" w:eastAsia="Times New Roman" w:hAnsi="Arial" w:cs="Arial"/>
          <w:bCs/>
          <w:sz w:val="24"/>
          <w:szCs w:val="24"/>
          <w:lang w:eastAsia="ru-RU"/>
        </w:rPr>
        <w:t>Отчет об исполнении бюджета городского округа за 2024 год в Контрольно-счетную палату представлен Администрацией в установленные сроки.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Составление проекта бюджета, кассовое исполнение бюджета городского округа, управление муниципальным долгом, составление сводной бюджетной отчетности на основании представленной бюджетной отчетности главными распорядителями и получателями средств бюджета осуществлялось Финансовым управлением администрации г. о. Долгопрудный в соответствии с требованиями Бюджетного законодательства.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Бюджет на 2024 год утвержден в соответствии с Бюджетным кодексом РФ до начала текущего финансового года решением Совета депутатов городского округа Долгопрудный Московской области от 20.12.2023 № 139-нр «О бюджете городского округа Долгопрудный на 2024 год и плановый период 2025 и 2026 годов».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>Бюджет первоначально был утвержден бездефицитным, принцип сбалансированности в соответствии с требованиями статьи 33 Бюджетного кодекса РФ соблюден.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В 2024 году проводилось 6 уточнений бюджета, которые принимались нормативными решениями Совета депутатов. 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>Все уточнения осуществлялись в соответствии с требованиями бюджетного законодательства. Он</w:t>
      </w:r>
      <w:r w:rsidRPr="0001275F">
        <w:rPr>
          <w:rFonts w:ascii="Arial" w:eastAsia="Calibri" w:hAnsi="Arial" w:cs="Arial"/>
          <w:sz w:val="24"/>
          <w:szCs w:val="24"/>
        </w:rPr>
        <w:t xml:space="preserve">и были связаны с выделением межбюджетных трансфертов из бюджетов других уровней в виде субсидий, субвенций и иных межбюджетных трансфертов, а также уточнением налоговых и неналоговых доходов.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В результате всех уточнений объем бюджета на 2024 год по доходам снизился на 6,7 (шесть целых семь десятых) процента, а по расходам снизился на 0,7 (ноль целых семь десятых) процента.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Необходимо отметить, что в</w:t>
      </w:r>
      <w:r w:rsidRPr="0001275F">
        <w:rPr>
          <w:rFonts w:ascii="Arial" w:hAnsi="Arial" w:cs="Arial"/>
          <w:sz w:val="24"/>
          <w:szCs w:val="24"/>
        </w:rPr>
        <w:t xml:space="preserve"> соответствии с Бюджетным Кодексом РФ все изменения были внесены в сводную бюджетную роспись своевременно. В </w:t>
      </w:r>
      <w:r w:rsidRPr="0001275F">
        <w:rPr>
          <w:rFonts w:ascii="Arial" w:hAnsi="Arial" w:cs="Arial"/>
          <w:sz w:val="24"/>
          <w:szCs w:val="24"/>
        </w:rPr>
        <w:lastRenderedPageBreak/>
        <w:t>установленный срок составлялся кассовый план и утвержденные показатели  сводной бюджетной росписи по расходам  доводились до главных распорядителей и получателей бюджетных  средств.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trike/>
          <w:sz w:val="24"/>
          <w:szCs w:val="24"/>
        </w:rPr>
      </w:pPr>
      <w:r w:rsidRPr="0001275F">
        <w:rPr>
          <w:rFonts w:ascii="Arial" w:eastAsia="Calibri" w:hAnsi="Arial" w:cs="Arial"/>
          <w:b/>
          <w:sz w:val="24"/>
          <w:szCs w:val="24"/>
          <w:u w:val="single"/>
        </w:rPr>
        <w:t>ИСПОЛНЕНИЕ БЮДЖЕТА ПО ДОХОДАМ</w:t>
      </w:r>
      <w:r w:rsidRPr="0001275F">
        <w:rPr>
          <w:rFonts w:ascii="Arial" w:eastAsia="Calibri" w:hAnsi="Arial" w:cs="Arial"/>
          <w:sz w:val="24"/>
          <w:szCs w:val="24"/>
        </w:rPr>
        <w:t xml:space="preserve"> осуществлялось в соответствии с требованиями бюджетного законодательства (ст. 218 БК РФ).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При сверке отчета об исполнении бюджета городского округа в части фактически поступивших доходов и произведенных расходов бюджета за 2024 год с Управлением федерального казначейства по Московской области по состоянию на 1 января 2025 года, расхождений не установлено.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Фактически за 2024 год в бюджет поступило доходов на 4,3 (четыре целых три десятых) процента больше от уточненного плана. По сравнению с 2023 годом доходы бюджета уменьшились на 4 процента.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Доходы бюджета в части налоговых и неналоговых поступлений исполнены с превышением на 9,3 (девять целых три десятых) процента относительно плановых показателей, в основном за счет налоговых доходов.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Удельный вес налоговых и неналоговых поступлений в общем объеме доходов бюджета составил 53 (пятьдесят три) процента.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По сравнению с 2023 годом в 2024 году поступление налоговых и неналоговых доходов увеличилось на 14,9 (четырнадцать целых девять десятых) процента.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Доходы от использования муниципального имущества поступили с превышением к прогнозным показателям на 2 (два) процента.  </w:t>
      </w:r>
      <w:r w:rsidRPr="0001275F">
        <w:rPr>
          <w:rFonts w:ascii="Arial" w:hAnsi="Arial" w:cs="Arial"/>
          <w:sz w:val="24"/>
          <w:szCs w:val="24"/>
        </w:rPr>
        <w:tab/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>По сравнению с 2023 годом доходы от использования муниципального имущества в общем снизились на 3,2 (три целых и две десятых) процента.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Исполнение по безвозмездным поступлениям от бюджетов других уровней бюджетной системы Российской Федерации составляет 99,2 (девяносто девять целых два десятых) процента. </w:t>
      </w:r>
      <w:r w:rsidRPr="0001275F">
        <w:rPr>
          <w:rFonts w:ascii="Arial" w:eastAsia="Calibri" w:hAnsi="Arial" w:cs="Arial"/>
          <w:sz w:val="24"/>
          <w:szCs w:val="24"/>
        </w:rPr>
        <w:t xml:space="preserve">Их удельный вес в общих доходах бюджета городского округа составил 47,1 (сорок семь целых одна десятая) процента.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b/>
          <w:sz w:val="24"/>
          <w:szCs w:val="24"/>
          <w:u w:val="single"/>
        </w:rPr>
        <w:t>ИСПОЛНЕНИЕ БЮДЖЕТА ГОРОДСКОГО ОКРУГА ПО РАСХОДАМ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trike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В 2024 году осуществлялось финансирование 6 (шести) главных распорядителей бюджетных средств.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Исполнение бюджета по расходам в 2024 году составило </w:t>
      </w:r>
      <w:r w:rsidRPr="0001275F">
        <w:rPr>
          <w:rFonts w:ascii="Arial" w:eastAsia="Calibri" w:hAnsi="Arial" w:cs="Arial"/>
          <w:bCs/>
          <w:sz w:val="24"/>
          <w:szCs w:val="24"/>
          <w:lang w:eastAsia="ru-RU"/>
        </w:rPr>
        <w:t xml:space="preserve">98 </w:t>
      </w:r>
      <w:r w:rsidRPr="0001275F">
        <w:rPr>
          <w:rFonts w:ascii="Arial" w:eastAsia="Calibri" w:hAnsi="Arial" w:cs="Arial"/>
          <w:sz w:val="24"/>
          <w:szCs w:val="24"/>
        </w:rPr>
        <w:t xml:space="preserve">(девяносто восемь) процентов к уточненному плану.  По сравнению с 2023 годом расходы бюджета уменьшились на 6,6 (шесть целых шесть десятых) процента. 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Расходование бюджетных средств осуществлялось в соответствии с утвержденными лимитами бюджетных обязательств и предельными объемами финансирования.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lastRenderedPageBreak/>
        <w:t>Сводная бюджетная роспись утверждена в установленные сроки, до начала финансового года - 29.12.2023 г.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Расходы бюджета на 2024 год были сформированы программно-целевым методом в соответствии с перечнем муниципальных программ городского округа Долгопрудный, реализация которых планировалась в 2024 году.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Планируемые расходы в рамках муниципальных программ составили 98,2% (девяносто восемь целых две десятых) процента от общих расходов бюджета.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Исполнение расходов в рамках реализации 18 муниципальных программ составило 97,9 (девяносто семь целых девять десятых) процентов от запланированных.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Представленные отчеты о выполнении муниципальных программ по форме соответствуют Порядку разработки и реализации муниципальных программ городского округа. Однако, информация о причинах не достижения целевых показателей и неполного использования бюджетных средств в отчетах недостаточно раскрыта. </w:t>
      </w:r>
    </w:p>
    <w:p w:rsidR="000F6435" w:rsidRPr="0001275F" w:rsidRDefault="000F6435" w:rsidP="000F6435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trike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По результатам внешней проверки бюджетной отчётности главных администраторов бюджетных средств за 2024 год установлено, что бюджетная отчётность отдельных главных администраторов бюджетных средств составлена с отдельными нарушениями и недостатками, выразившимися в несоблюдении требований отдельных пунктов Инструкции № 191н, не оказавших существенного влияния на достоверность основных показателей годового отчёта об исполнении бюджета городского округа за 2024 год, но отрицательно сказавшиеся на его информативности.</w:t>
      </w:r>
    </w:p>
    <w:p w:rsidR="000F6435" w:rsidRPr="0001275F" w:rsidRDefault="000F6435" w:rsidP="000F6435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Фактов финансирования расходов </w:t>
      </w:r>
      <w:r w:rsidRPr="0001275F">
        <w:rPr>
          <w:rFonts w:ascii="Arial" w:eastAsia="Calibri" w:hAnsi="Arial" w:cs="Arial"/>
          <w:b/>
          <w:sz w:val="24"/>
          <w:szCs w:val="24"/>
        </w:rPr>
        <w:t xml:space="preserve">СВЕРХ </w:t>
      </w:r>
      <w:r w:rsidRPr="0001275F">
        <w:rPr>
          <w:rFonts w:ascii="Arial" w:eastAsia="Calibri" w:hAnsi="Arial" w:cs="Arial"/>
          <w:sz w:val="24"/>
          <w:szCs w:val="24"/>
        </w:rPr>
        <w:t xml:space="preserve">утвержденных бюджетом ассигнований не установлено. </w:t>
      </w:r>
    </w:p>
    <w:p w:rsidR="000F6435" w:rsidRPr="0001275F" w:rsidRDefault="000F6435" w:rsidP="000F6435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По состоянию на 01.01.2024 в городском округе осуществляли деятельность 47 муниципальных учреждений, которым выделялись из бюджета городского округа субсидии на выполнение </w:t>
      </w:r>
      <w:r w:rsidRPr="0001275F">
        <w:rPr>
          <w:rFonts w:ascii="Arial" w:hAnsi="Arial" w:cs="Arial"/>
          <w:b/>
          <w:sz w:val="24"/>
          <w:szCs w:val="24"/>
        </w:rPr>
        <w:t xml:space="preserve">муниципальных заданий </w:t>
      </w:r>
      <w:r w:rsidRPr="0001275F">
        <w:rPr>
          <w:rFonts w:ascii="Arial" w:hAnsi="Arial" w:cs="Arial"/>
          <w:sz w:val="24"/>
          <w:szCs w:val="24"/>
        </w:rPr>
        <w:t xml:space="preserve">для оказания муниципальных услуг (выполнения работ). </w:t>
      </w:r>
    </w:p>
    <w:p w:rsidR="000F6435" w:rsidRPr="0001275F" w:rsidRDefault="000F6435" w:rsidP="000F6435">
      <w:pPr>
        <w:spacing w:after="0" w:line="36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В ходе внешней проверки бюджетной отчетности за 2024 год и выборочной проверки представленных отчетов о выполнении муниципальных заданий бюджетными и автономными учреждениями установлено, что запланированные показатели муниципальных заданий в основном выполнены.</w:t>
      </w:r>
    </w:p>
    <w:p w:rsidR="000F6435" w:rsidRPr="0001275F" w:rsidRDefault="000F6435" w:rsidP="000F6435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hAnsi="Arial" w:cs="Arial"/>
          <w:sz w:val="24"/>
          <w:szCs w:val="24"/>
        </w:rPr>
        <w:t xml:space="preserve">Размер </w:t>
      </w:r>
      <w:r w:rsidRPr="0001275F">
        <w:rPr>
          <w:rFonts w:ascii="Arial" w:hAnsi="Arial" w:cs="Arial"/>
          <w:b/>
          <w:sz w:val="24"/>
          <w:szCs w:val="24"/>
        </w:rPr>
        <w:t>РЕЗЕРВНОГО ФОНДА</w:t>
      </w:r>
      <w:r w:rsidRPr="0001275F">
        <w:rPr>
          <w:rFonts w:ascii="Arial" w:hAnsi="Arial" w:cs="Arial"/>
          <w:sz w:val="24"/>
          <w:szCs w:val="24"/>
        </w:rPr>
        <w:t xml:space="preserve"> администрации городского округа Долгопрудный</w:t>
      </w:r>
      <w:r w:rsidRPr="0001275F">
        <w:rPr>
          <w:rFonts w:ascii="Arial" w:hAnsi="Arial" w:cs="Arial"/>
          <w:strike/>
          <w:sz w:val="24"/>
          <w:szCs w:val="24"/>
        </w:rPr>
        <w:t xml:space="preserve"> </w:t>
      </w:r>
      <w:r w:rsidRPr="0001275F">
        <w:rPr>
          <w:rFonts w:ascii="Arial" w:hAnsi="Arial" w:cs="Arial"/>
          <w:sz w:val="24"/>
          <w:szCs w:val="24"/>
        </w:rPr>
        <w:t xml:space="preserve">утвержден в сумме 8,0 миллионов рублей и не превысил ограничений, установленных п.3 ст. 81 БК РФ. Расходование средств </w:t>
      </w:r>
      <w:r w:rsidRPr="0001275F">
        <w:rPr>
          <w:rFonts w:ascii="Arial" w:hAnsi="Arial" w:cs="Arial"/>
          <w:b/>
          <w:sz w:val="24"/>
          <w:szCs w:val="24"/>
        </w:rPr>
        <w:t>Резервного фонда</w:t>
      </w:r>
      <w:r w:rsidRPr="0001275F">
        <w:rPr>
          <w:rFonts w:ascii="Arial" w:hAnsi="Arial" w:cs="Arial"/>
          <w:sz w:val="24"/>
          <w:szCs w:val="24"/>
        </w:rPr>
        <w:t xml:space="preserve"> в 2024 году не осуществлялось.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По состоянию на 01.01.2025 муниципальные заимствования отсутствуют.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Коммерческий кредит, привлеченный в сумме 80.000.000,00 руб. (восемьдесят миллионов рублей) на покрытие дефицита бюджета городского округа в 2023 году со сроком погашения 03.04.2024 погашен 29.03.2024.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trike/>
          <w:sz w:val="24"/>
          <w:szCs w:val="24"/>
          <w:highlight w:val="yellow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В 2024 году заключен муниципальный контракт на оказание финансовых услуг по предоставлению кредита (в виде возобновляемой кредитной линии) городскому округу Долгопрудный в объеме 180 000 000,00 руб.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Необходимость в кредитных средствах в 2024 году отсутствовала.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Верхний предел муниципального долга городского округа Долгопрудный по кредитам составляет на 01.01.2025 г. - 180 000 000,00 руб. (сто восемьдесят миллионов рублей).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На момент проведения внешней проверки Отчета об исполнении бюджета городского округа Долгопрудный за 2024 год, муниципальный долг отсутствует.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trike/>
          <w:sz w:val="24"/>
          <w:szCs w:val="24"/>
        </w:rPr>
      </w:pPr>
      <w:r w:rsidRPr="0001275F">
        <w:rPr>
          <w:rFonts w:ascii="Arial" w:eastAsia="Calibri" w:hAnsi="Arial" w:cs="Arial"/>
          <w:b/>
          <w:sz w:val="24"/>
          <w:szCs w:val="24"/>
          <w:u w:val="single"/>
        </w:rPr>
        <w:t>Дебиторская задолженность</w:t>
      </w:r>
      <w:r w:rsidRPr="0001275F">
        <w:rPr>
          <w:rFonts w:ascii="Arial" w:eastAsia="Calibri" w:hAnsi="Arial" w:cs="Arial"/>
          <w:sz w:val="24"/>
          <w:szCs w:val="24"/>
        </w:rPr>
        <w:t xml:space="preserve"> по расчётам по доходам по состоянию на 1 января 2025 года уменьшилась по сравнению с 1 января 2024 года на 20,6 (двадцать целых шесть десятых) процента.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trike/>
          <w:sz w:val="24"/>
          <w:szCs w:val="24"/>
        </w:rPr>
      </w:pPr>
      <w:r w:rsidRPr="0001275F">
        <w:rPr>
          <w:rFonts w:ascii="Arial" w:eastAsia="Calibri" w:hAnsi="Arial" w:cs="Arial"/>
          <w:b/>
          <w:sz w:val="24"/>
          <w:szCs w:val="24"/>
          <w:u w:val="single"/>
        </w:rPr>
        <w:t>Кредиторская задолженность</w:t>
      </w:r>
      <w:r w:rsidRPr="0001275F">
        <w:rPr>
          <w:rFonts w:ascii="Arial" w:eastAsia="Calibri" w:hAnsi="Arial" w:cs="Arial"/>
          <w:sz w:val="24"/>
          <w:szCs w:val="24"/>
        </w:rPr>
        <w:t xml:space="preserve"> по состоянию на 1 января 2025 г. снизилась по сравнению с 1 января 2024 года на 69,2 (шестьдесят девять целых две десятых) процента.</w:t>
      </w:r>
      <w:r w:rsidRPr="0001275F">
        <w:t xml:space="preserve"> </w:t>
      </w:r>
    </w:p>
    <w:p w:rsidR="000F6435" w:rsidRPr="0001275F" w:rsidRDefault="000F6435" w:rsidP="000F6435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>Годовой отчёт об исполнении бюджета городского округа в основном соответствует требованиям по содержанию и полноте отражения информации. Вместе с тем, в ходе внешней проверки бюджетной отчётности главных администраторов бюджетных средств городского округа за 2024 год, выявлены отдельные факты нарушений и недостатков, в том числе порядка ведения бухгалтерского учёта и составления бюджетной и бухгалтерской отчётности. Выявленные нарушения требований по составлению бюджетной отчетности главными администраторами бюджетных средств городского округа имеют типичный характер.</w:t>
      </w:r>
    </w:p>
    <w:p w:rsidR="000F6435" w:rsidRPr="0001275F" w:rsidRDefault="000F6435" w:rsidP="000F6435">
      <w:pPr>
        <w:suppressAutoHyphens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1275F">
        <w:rPr>
          <w:rFonts w:ascii="Arial" w:eastAsia="Calibri" w:hAnsi="Arial" w:cs="Arial"/>
          <w:sz w:val="24"/>
          <w:szCs w:val="24"/>
        </w:rPr>
        <w:t xml:space="preserve">При составлении ЗАКЛЮЧЕНИЯ </w:t>
      </w:r>
      <w:r w:rsidRPr="0001275F">
        <w:rPr>
          <w:rFonts w:ascii="Arial" w:hAnsi="Arial" w:cs="Arial"/>
          <w:sz w:val="24"/>
          <w:szCs w:val="24"/>
        </w:rPr>
        <w:t>по внешней проверке Отчета об исполнении бюджета городского округа Долгопрудный за 2024 год Контрольно-счетной палатой подготовлены предложения и рекомендации, которые направлены в адрес администрации.</w:t>
      </w:r>
    </w:p>
    <w:p w:rsidR="000F6435" w:rsidRPr="0001275F" w:rsidRDefault="000F6435" w:rsidP="000F643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1275F">
        <w:rPr>
          <w:rFonts w:ascii="Arial" w:hAnsi="Arial" w:cs="Arial"/>
          <w:sz w:val="24"/>
          <w:szCs w:val="24"/>
        </w:rPr>
        <w:t xml:space="preserve">На основании изложенного, Контрольно-счетная палата городского округа Долгопрудный считает, что представленный отчет об исполнении бюджета городского округа Долгопрудный за 2024 год и бюджетной отчетности главных администраторов бюджетных средств за 2024 год </w:t>
      </w:r>
      <w:r w:rsidRPr="0001275F">
        <w:rPr>
          <w:rFonts w:ascii="Arial" w:hAnsi="Arial" w:cs="Arial"/>
          <w:b/>
          <w:sz w:val="24"/>
          <w:szCs w:val="24"/>
        </w:rPr>
        <w:t>в целом соответствует</w:t>
      </w:r>
      <w:r w:rsidRPr="0001275F">
        <w:rPr>
          <w:rFonts w:ascii="Arial" w:hAnsi="Arial" w:cs="Arial"/>
          <w:sz w:val="24"/>
          <w:szCs w:val="24"/>
        </w:rPr>
        <w:t xml:space="preserve"> </w:t>
      </w:r>
      <w:r w:rsidRPr="0001275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 составу и содержанию установленным требованиям и</w:t>
      </w:r>
      <w:r w:rsidRPr="0001275F">
        <w:rPr>
          <w:rFonts w:ascii="Arial" w:hAnsi="Arial" w:cs="Arial"/>
          <w:sz w:val="24"/>
          <w:szCs w:val="24"/>
        </w:rPr>
        <w:t xml:space="preserve"> нормам действующего бюджетного законодательства. </w:t>
      </w:r>
    </w:p>
    <w:p w:rsidR="00A250FB" w:rsidRPr="0001275F" w:rsidRDefault="000F6435" w:rsidP="000F6435">
      <w:pPr>
        <w:spacing w:after="0" w:line="360" w:lineRule="auto"/>
        <w:ind w:firstLine="567"/>
        <w:contextualSpacing/>
        <w:jc w:val="both"/>
      </w:pPr>
      <w:r w:rsidRPr="0001275F">
        <w:rPr>
          <w:rFonts w:ascii="Arial" w:hAnsi="Arial" w:cs="Arial"/>
          <w:b/>
          <w:sz w:val="24"/>
          <w:szCs w:val="24"/>
        </w:rPr>
        <w:t xml:space="preserve">Предлагаем принять его к рассмотрению с учетом внесенных КСП предложений. </w:t>
      </w:r>
      <w:r w:rsidRPr="0001275F">
        <w:rPr>
          <w:rFonts w:ascii="Arial" w:hAnsi="Arial" w:cs="Arial"/>
          <w:sz w:val="24"/>
          <w:szCs w:val="24"/>
        </w:rPr>
        <w:t xml:space="preserve">Спасибо за внимание! </w:t>
      </w:r>
    </w:p>
    <w:sectPr w:rsidR="00A250FB" w:rsidRPr="0001275F" w:rsidSect="008B2C32">
      <w:footerReference w:type="default" r:id="rId6"/>
      <w:pgSz w:w="11907" w:h="16840" w:code="9"/>
      <w:pgMar w:top="567" w:right="851" w:bottom="567" w:left="851" w:header="709" w:footer="27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47" w:rsidRDefault="00851D47">
      <w:pPr>
        <w:spacing w:after="0" w:line="240" w:lineRule="auto"/>
      </w:pPr>
      <w:r>
        <w:separator/>
      </w:r>
    </w:p>
  </w:endnote>
  <w:endnote w:type="continuationSeparator" w:id="0">
    <w:p w:rsidR="00851D47" w:rsidRDefault="008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D3" w:rsidRDefault="000F643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861">
      <w:rPr>
        <w:noProof/>
      </w:rPr>
      <w:t>1</w:t>
    </w:r>
    <w:r>
      <w:rPr>
        <w:noProof/>
      </w:rPr>
      <w:fldChar w:fldCharType="end"/>
    </w:r>
  </w:p>
  <w:p w:rsidR="00B632D3" w:rsidRDefault="004748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47" w:rsidRDefault="00851D47">
      <w:pPr>
        <w:spacing w:after="0" w:line="240" w:lineRule="auto"/>
      </w:pPr>
      <w:r>
        <w:separator/>
      </w:r>
    </w:p>
  </w:footnote>
  <w:footnote w:type="continuationSeparator" w:id="0">
    <w:p w:rsidR="00851D47" w:rsidRDefault="00851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35"/>
    <w:rsid w:val="0001275F"/>
    <w:rsid w:val="000E3706"/>
    <w:rsid w:val="000F6435"/>
    <w:rsid w:val="00450428"/>
    <w:rsid w:val="00474861"/>
    <w:rsid w:val="00537E9F"/>
    <w:rsid w:val="00851D47"/>
    <w:rsid w:val="00A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FC629-E6E4-415E-9147-A9908C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F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F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2025-06-18T12:05:00Z</dcterms:created>
  <dcterms:modified xsi:type="dcterms:W3CDTF">2025-06-18T12:05:00Z</dcterms:modified>
</cp:coreProperties>
</file>